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B02C7" w14:textId="77777777" w:rsidR="00B806AA" w:rsidRPr="00751CB8" w:rsidRDefault="00000000">
      <w:pPr>
        <w:pStyle w:val="Heading1"/>
        <w:rPr>
          <w:rFonts w:ascii="Arial" w:hAnsi="Arial" w:cs="Arial"/>
          <w:color w:val="000000" w:themeColor="text1"/>
          <w:sz w:val="22"/>
          <w:szCs w:val="22"/>
        </w:rPr>
      </w:pPr>
      <w:r w:rsidRPr="00751CB8">
        <w:rPr>
          <w:rFonts w:ascii="Arial" w:hAnsi="Arial" w:cs="Arial"/>
          <w:color w:val="000000" w:themeColor="text1"/>
          <w:sz w:val="22"/>
          <w:szCs w:val="22"/>
        </w:rPr>
        <w:t>Supplement: Soft</w:t>
      </w:r>
      <w:r w:rsidRPr="00751CB8">
        <w:rPr>
          <w:rFonts w:ascii="Cambria Math" w:hAnsi="Cambria Math" w:cs="Cambria Math"/>
          <w:color w:val="000000" w:themeColor="text1"/>
          <w:sz w:val="22"/>
          <w:szCs w:val="22"/>
        </w:rPr>
        <w:t>‑</w:t>
      </w:r>
      <w:r w:rsidRPr="00751CB8">
        <w:rPr>
          <w:rFonts w:ascii="Arial" w:hAnsi="Arial" w:cs="Arial"/>
          <w:color w:val="000000" w:themeColor="text1"/>
          <w:sz w:val="22"/>
          <w:szCs w:val="22"/>
        </w:rPr>
        <w:t>Tissue Surgical Robotics – Procedure</w:t>
      </w:r>
      <w:r w:rsidRPr="00751CB8">
        <w:rPr>
          <w:rFonts w:ascii="Cambria Math" w:hAnsi="Cambria Math" w:cs="Cambria Math"/>
          <w:color w:val="000000" w:themeColor="text1"/>
          <w:sz w:val="22"/>
          <w:szCs w:val="22"/>
        </w:rPr>
        <w:t>‑</w:t>
      </w:r>
      <w:r w:rsidRPr="00751CB8">
        <w:rPr>
          <w:rFonts w:ascii="Arial" w:hAnsi="Arial" w:cs="Arial"/>
          <w:color w:val="000000" w:themeColor="text1"/>
          <w:sz w:val="22"/>
          <w:szCs w:val="22"/>
        </w:rPr>
        <w:t>Adjusted Market Model</w:t>
      </w:r>
    </w:p>
    <w:p w14:paraId="58E64B9B" w14:textId="77777777" w:rsidR="00B806AA" w:rsidRPr="00751CB8" w:rsidRDefault="00000000">
      <w:pPr>
        <w:pStyle w:val="Heading2"/>
        <w:rPr>
          <w:rFonts w:ascii="Arial" w:hAnsi="Arial" w:cs="Arial"/>
          <w:color w:val="000000" w:themeColor="text1"/>
          <w:sz w:val="22"/>
          <w:szCs w:val="22"/>
        </w:rPr>
      </w:pPr>
      <w:r w:rsidRPr="00751CB8">
        <w:rPr>
          <w:rFonts w:ascii="Arial" w:hAnsi="Arial" w:cs="Arial"/>
          <w:color w:val="000000" w:themeColor="text1"/>
          <w:sz w:val="22"/>
          <w:szCs w:val="22"/>
        </w:rPr>
        <w:t>Scope and Definitions</w:t>
      </w:r>
    </w:p>
    <w:p w14:paraId="15EF65CF" w14:textId="77777777" w:rsidR="00B806AA" w:rsidRPr="00751CB8" w:rsidRDefault="00000000">
      <w:pPr>
        <w:rPr>
          <w:rFonts w:ascii="Arial" w:hAnsi="Arial" w:cs="Arial"/>
          <w:color w:val="000000" w:themeColor="text1"/>
        </w:rPr>
      </w:pPr>
      <w:r w:rsidRPr="00751CB8">
        <w:rPr>
          <w:rFonts w:ascii="Arial" w:hAnsi="Arial" w:cs="Arial"/>
          <w:color w:val="000000" w:themeColor="text1"/>
        </w:rPr>
        <w:t>Analysis is confined to soft</w:t>
      </w:r>
      <w:r w:rsidRPr="00751CB8">
        <w:rPr>
          <w:rFonts w:ascii="Cambria Math" w:hAnsi="Cambria Math" w:cs="Cambria Math"/>
          <w:color w:val="000000" w:themeColor="text1"/>
        </w:rPr>
        <w:t>‑</w:t>
      </w:r>
      <w:r w:rsidRPr="00751CB8">
        <w:rPr>
          <w:rFonts w:ascii="Arial" w:hAnsi="Arial" w:cs="Arial"/>
          <w:color w:val="000000" w:themeColor="text1"/>
        </w:rPr>
        <w:t>tissue surgical robotics only. In</w:t>
      </w:r>
      <w:r w:rsidRPr="00751CB8">
        <w:rPr>
          <w:rFonts w:ascii="Cambria Math" w:hAnsi="Cambria Math" w:cs="Cambria Math"/>
          <w:color w:val="000000" w:themeColor="text1"/>
        </w:rPr>
        <w:t>‑</w:t>
      </w:r>
      <w:r w:rsidRPr="00751CB8">
        <w:rPr>
          <w:rFonts w:ascii="Arial" w:hAnsi="Arial" w:cs="Arial"/>
          <w:color w:val="000000" w:themeColor="text1"/>
        </w:rPr>
        <w:t>scope spending comprises capital systems, instruments &amp; accessories and service contracts used in minimally invasive soft</w:t>
      </w:r>
      <w:r w:rsidRPr="00751CB8">
        <w:rPr>
          <w:rFonts w:ascii="Cambria Math" w:hAnsi="Cambria Math" w:cs="Cambria Math"/>
          <w:color w:val="000000" w:themeColor="text1"/>
        </w:rPr>
        <w:t>‑</w:t>
      </w:r>
      <w:r w:rsidRPr="00751CB8">
        <w:rPr>
          <w:rFonts w:ascii="Arial" w:hAnsi="Arial" w:cs="Arial"/>
          <w:color w:val="000000" w:themeColor="text1"/>
        </w:rPr>
        <w:t>tissue procedures across urology, gynaecology, general surgery, thoracic and selected head</w:t>
      </w:r>
      <w:r w:rsidRPr="00751CB8">
        <w:rPr>
          <w:rFonts w:ascii="Cambria Math" w:hAnsi="Cambria Math" w:cs="Cambria Math"/>
          <w:color w:val="000000" w:themeColor="text1"/>
        </w:rPr>
        <w:t>‑</w:t>
      </w:r>
      <w:r w:rsidRPr="00751CB8">
        <w:rPr>
          <w:rFonts w:ascii="Arial" w:hAnsi="Arial" w:cs="Arial"/>
          <w:color w:val="000000" w:themeColor="text1"/>
        </w:rPr>
        <w:t>and</w:t>
      </w:r>
      <w:r w:rsidRPr="00751CB8">
        <w:rPr>
          <w:rFonts w:ascii="Cambria Math" w:hAnsi="Cambria Math" w:cs="Cambria Math"/>
          <w:color w:val="000000" w:themeColor="text1"/>
        </w:rPr>
        <w:t>‑</w:t>
      </w:r>
      <w:r w:rsidRPr="00751CB8">
        <w:rPr>
          <w:rFonts w:ascii="Arial" w:hAnsi="Arial" w:cs="Arial"/>
          <w:color w:val="000000" w:themeColor="text1"/>
        </w:rPr>
        <w:t>neck indications. Hard</w:t>
      </w:r>
      <w:r w:rsidRPr="00751CB8">
        <w:rPr>
          <w:rFonts w:ascii="Cambria Math" w:hAnsi="Cambria Math" w:cs="Cambria Math"/>
          <w:color w:val="000000" w:themeColor="text1"/>
        </w:rPr>
        <w:t>‑</w:t>
      </w:r>
      <w:r w:rsidRPr="00751CB8">
        <w:rPr>
          <w:rFonts w:ascii="Arial" w:hAnsi="Arial" w:cs="Arial"/>
          <w:color w:val="000000" w:themeColor="text1"/>
        </w:rPr>
        <w:t>tissue domains (orthopaedics, spine), dental/maxillofacial and cranial neurosurgery are excluded. Industrial robots and non</w:t>
      </w:r>
      <w:r w:rsidRPr="00751CB8">
        <w:rPr>
          <w:rFonts w:ascii="Cambria Math" w:hAnsi="Cambria Math" w:cs="Cambria Math"/>
          <w:color w:val="000000" w:themeColor="text1"/>
        </w:rPr>
        <w:t>‑</w:t>
      </w:r>
      <w:r w:rsidRPr="00751CB8">
        <w:rPr>
          <w:rFonts w:ascii="Arial" w:hAnsi="Arial" w:cs="Arial"/>
          <w:color w:val="000000" w:themeColor="text1"/>
        </w:rPr>
        <w:t>surgical medical robots are excluded. Values are nominal USD unless stated.</w:t>
      </w:r>
    </w:p>
    <w:p w14:paraId="1C216A47" w14:textId="77777777" w:rsidR="00B806AA" w:rsidRPr="00751CB8" w:rsidRDefault="00000000">
      <w:pPr>
        <w:pStyle w:val="Heading2"/>
        <w:rPr>
          <w:rFonts w:ascii="Arial" w:hAnsi="Arial" w:cs="Arial"/>
          <w:color w:val="000000" w:themeColor="text1"/>
          <w:sz w:val="22"/>
          <w:szCs w:val="22"/>
        </w:rPr>
      </w:pPr>
      <w:r w:rsidRPr="00751CB8">
        <w:rPr>
          <w:rFonts w:ascii="Arial" w:hAnsi="Arial" w:cs="Arial"/>
          <w:color w:val="000000" w:themeColor="text1"/>
          <w:sz w:val="22"/>
          <w:szCs w:val="22"/>
        </w:rPr>
        <w:t>Base Year and Observed Series (2020–2024)</w:t>
      </w:r>
    </w:p>
    <w:p w14:paraId="48F6E27C" w14:textId="77777777" w:rsidR="00B806AA" w:rsidRPr="00751CB8" w:rsidRDefault="00000000">
      <w:pPr>
        <w:rPr>
          <w:rFonts w:ascii="Arial" w:hAnsi="Arial" w:cs="Arial"/>
          <w:color w:val="000000" w:themeColor="text1"/>
        </w:rPr>
      </w:pPr>
      <w:r w:rsidRPr="00751CB8">
        <w:rPr>
          <w:rFonts w:ascii="Arial" w:hAnsi="Arial" w:cs="Arial"/>
          <w:color w:val="000000" w:themeColor="text1"/>
        </w:rPr>
        <w:t>The 2024 base is anchored to company revenue: Intuitive Surgical reported US$8.35 bn revenue in 2024. Assuming ~80% share of soft</w:t>
      </w:r>
      <w:r w:rsidRPr="00751CB8">
        <w:rPr>
          <w:rFonts w:ascii="Cambria Math" w:hAnsi="Cambria Math" w:cs="Cambria Math"/>
          <w:color w:val="000000" w:themeColor="text1"/>
        </w:rPr>
        <w:t>‑</w:t>
      </w:r>
      <w:r w:rsidRPr="00751CB8">
        <w:rPr>
          <w:rFonts w:ascii="Arial" w:hAnsi="Arial" w:cs="Arial"/>
          <w:color w:val="000000" w:themeColor="text1"/>
        </w:rPr>
        <w:t>tissue market spend, the implied global soft</w:t>
      </w:r>
      <w:r w:rsidRPr="00751CB8">
        <w:rPr>
          <w:rFonts w:ascii="Cambria Math" w:hAnsi="Cambria Math" w:cs="Cambria Math"/>
          <w:color w:val="000000" w:themeColor="text1"/>
        </w:rPr>
        <w:t>‑</w:t>
      </w:r>
      <w:r w:rsidRPr="00751CB8">
        <w:rPr>
          <w:rFonts w:ascii="Arial" w:hAnsi="Arial" w:cs="Arial"/>
          <w:color w:val="000000" w:themeColor="text1"/>
        </w:rPr>
        <w:t>tissue market in 2024 is **US$10.44 bn**. A plausible back</w:t>
      </w:r>
      <w:r w:rsidRPr="00751CB8">
        <w:rPr>
          <w:rFonts w:ascii="Cambria Math" w:hAnsi="Cambria Math" w:cs="Cambria Math"/>
          <w:color w:val="000000" w:themeColor="text1"/>
        </w:rPr>
        <w:t>‑</w:t>
      </w:r>
      <w:r w:rsidRPr="00751CB8">
        <w:rPr>
          <w:rFonts w:ascii="Arial" w:hAnsi="Arial" w:cs="Arial"/>
          <w:color w:val="000000" w:themeColor="text1"/>
        </w:rPr>
        <w:t>cast provides an observed series rising from 2020 to 2024 consistent with this anchor (see ‘Observed_2020_2024’ sheet).</w:t>
      </w:r>
    </w:p>
    <w:p w14:paraId="425B8DD5" w14:textId="77777777" w:rsidR="00B806AA" w:rsidRPr="00751CB8" w:rsidRDefault="00000000">
      <w:pPr>
        <w:pStyle w:val="Heading2"/>
        <w:rPr>
          <w:rFonts w:ascii="Arial" w:hAnsi="Arial" w:cs="Arial"/>
          <w:color w:val="000000" w:themeColor="text1"/>
          <w:sz w:val="22"/>
          <w:szCs w:val="22"/>
        </w:rPr>
      </w:pPr>
      <w:r w:rsidRPr="00751CB8">
        <w:rPr>
          <w:rFonts w:ascii="Arial" w:hAnsi="Arial" w:cs="Arial"/>
          <w:color w:val="000000" w:themeColor="text1"/>
          <w:sz w:val="22"/>
          <w:szCs w:val="22"/>
        </w:rPr>
        <w:t>Forecast Methodology: Procedure</w:t>
      </w:r>
      <w:r w:rsidRPr="00751CB8">
        <w:rPr>
          <w:rFonts w:ascii="Cambria Math" w:hAnsi="Cambria Math" w:cs="Cambria Math"/>
          <w:color w:val="000000" w:themeColor="text1"/>
          <w:sz w:val="22"/>
          <w:szCs w:val="22"/>
        </w:rPr>
        <w:t>‑</w:t>
      </w:r>
      <w:r w:rsidRPr="00751CB8">
        <w:rPr>
          <w:rFonts w:ascii="Arial" w:hAnsi="Arial" w:cs="Arial"/>
          <w:color w:val="000000" w:themeColor="text1"/>
          <w:sz w:val="22"/>
          <w:szCs w:val="22"/>
        </w:rPr>
        <w:t>Adjusted, Non</w:t>
      </w:r>
      <w:r w:rsidRPr="00751CB8">
        <w:rPr>
          <w:rFonts w:ascii="Cambria Math" w:hAnsi="Cambria Math" w:cs="Cambria Math"/>
          <w:color w:val="000000" w:themeColor="text1"/>
          <w:sz w:val="22"/>
          <w:szCs w:val="22"/>
        </w:rPr>
        <w:t>‑</w:t>
      </w:r>
      <w:r w:rsidRPr="00751CB8">
        <w:rPr>
          <w:rFonts w:ascii="Arial" w:hAnsi="Arial" w:cs="Arial"/>
          <w:color w:val="000000" w:themeColor="text1"/>
          <w:sz w:val="22"/>
          <w:szCs w:val="22"/>
        </w:rPr>
        <w:t>explosive Growth</w:t>
      </w:r>
    </w:p>
    <w:p w14:paraId="4D5CF59A" w14:textId="77777777" w:rsidR="00B806AA" w:rsidRPr="00751CB8" w:rsidRDefault="00000000">
      <w:pPr>
        <w:rPr>
          <w:rFonts w:ascii="Arial" w:hAnsi="Arial" w:cs="Arial"/>
          <w:color w:val="000000" w:themeColor="text1"/>
        </w:rPr>
      </w:pPr>
      <w:r w:rsidRPr="00751CB8">
        <w:rPr>
          <w:rFonts w:ascii="Arial" w:hAnsi="Arial" w:cs="Arial"/>
          <w:color w:val="000000" w:themeColor="text1"/>
        </w:rPr>
        <w:t>Forecasts are computed year</w:t>
      </w:r>
      <w:r w:rsidRPr="00751CB8">
        <w:rPr>
          <w:rFonts w:ascii="Cambria Math" w:hAnsi="Cambria Math" w:cs="Cambria Math"/>
          <w:color w:val="000000" w:themeColor="text1"/>
        </w:rPr>
        <w:t>‑</w:t>
      </w:r>
      <w:r w:rsidRPr="00751CB8">
        <w:rPr>
          <w:rFonts w:ascii="Arial" w:hAnsi="Arial" w:cs="Arial"/>
          <w:color w:val="000000" w:themeColor="text1"/>
        </w:rPr>
        <w:t>by</w:t>
      </w:r>
      <w:r w:rsidRPr="00751CB8">
        <w:rPr>
          <w:rFonts w:ascii="Cambria Math" w:hAnsi="Cambria Math" w:cs="Cambria Math"/>
          <w:color w:val="000000" w:themeColor="text1"/>
        </w:rPr>
        <w:t>‑</w:t>
      </w:r>
      <w:r w:rsidRPr="00751CB8">
        <w:rPr>
          <w:rFonts w:ascii="Arial" w:hAnsi="Arial" w:cs="Arial"/>
          <w:color w:val="000000" w:themeColor="text1"/>
        </w:rPr>
        <w:t>year rather than by a single multi</w:t>
      </w:r>
      <w:r w:rsidRPr="00751CB8">
        <w:rPr>
          <w:rFonts w:ascii="Cambria Math" w:hAnsi="Cambria Math" w:cs="Cambria Math"/>
          <w:color w:val="000000" w:themeColor="text1"/>
        </w:rPr>
        <w:t>‑</w:t>
      </w:r>
      <w:r w:rsidRPr="00751CB8">
        <w:rPr>
          <w:rFonts w:ascii="Arial" w:hAnsi="Arial" w:cs="Arial"/>
          <w:color w:val="000000" w:themeColor="text1"/>
        </w:rPr>
        <w:t>year exponent. For each scenario, a baseline annual growth rate (reflecting price/mix and installed</w:t>
      </w:r>
      <w:r w:rsidRPr="00751CB8">
        <w:rPr>
          <w:rFonts w:ascii="Cambria Math" w:hAnsi="Cambria Math" w:cs="Cambria Math"/>
          <w:color w:val="000000" w:themeColor="text1"/>
        </w:rPr>
        <w:t>‑</w:t>
      </w:r>
      <w:r w:rsidRPr="00751CB8">
        <w:rPr>
          <w:rFonts w:ascii="Arial" w:hAnsi="Arial" w:cs="Arial"/>
          <w:color w:val="000000" w:themeColor="text1"/>
        </w:rPr>
        <w:t>base effects) is **augmented by a small, linearly increasing uplift** to represent rising **robotic procedure share** as robotics displaces laparoscopy. The uplift increases by a fixed number of percentage points each year and is applied to that year’s growth only, avoiding aggressive exponential compounding.</w:t>
      </w:r>
    </w:p>
    <w:p w14:paraId="0246EAE4" w14:textId="77777777" w:rsidR="00B806AA" w:rsidRPr="00751CB8" w:rsidRDefault="00000000">
      <w:pPr>
        <w:rPr>
          <w:rFonts w:ascii="Arial" w:hAnsi="Arial" w:cs="Arial"/>
          <w:color w:val="000000" w:themeColor="text1"/>
        </w:rPr>
      </w:pPr>
      <w:r w:rsidRPr="00751CB8">
        <w:rPr>
          <w:rFonts w:ascii="Arial" w:hAnsi="Arial" w:cs="Arial"/>
          <w:color w:val="000000" w:themeColor="text1"/>
        </w:rPr>
        <w:t>For year t (t ≥ 2025), the annual growth rate is:  r_t = r_base + (t − 2024) × uplift_per_year. The value updates iteratively as Value_t = Value_{t−1} × (1 + r_t). This produces a **medium, cautious acceleration** through 2030 without explosive behaviour.</w:t>
      </w:r>
    </w:p>
    <w:p w14:paraId="75ADED6A" w14:textId="77777777" w:rsidR="00B806AA" w:rsidRPr="00751CB8" w:rsidRDefault="00000000">
      <w:pPr>
        <w:pStyle w:val="Heading2"/>
        <w:rPr>
          <w:rFonts w:ascii="Arial" w:hAnsi="Arial" w:cs="Arial"/>
          <w:color w:val="000000" w:themeColor="text1"/>
          <w:sz w:val="22"/>
          <w:szCs w:val="22"/>
        </w:rPr>
      </w:pPr>
      <w:r w:rsidRPr="00751CB8">
        <w:rPr>
          <w:rFonts w:ascii="Arial" w:hAnsi="Arial" w:cs="Arial"/>
          <w:color w:val="000000" w:themeColor="text1"/>
          <w:sz w:val="22"/>
          <w:szCs w:val="22"/>
        </w:rPr>
        <w:t>Scenario Settings and Effective End</w:t>
      </w:r>
      <w:r w:rsidRPr="00751CB8">
        <w:rPr>
          <w:rFonts w:ascii="Cambria Math" w:hAnsi="Cambria Math" w:cs="Cambria Math"/>
          <w:color w:val="000000" w:themeColor="text1"/>
          <w:sz w:val="22"/>
          <w:szCs w:val="22"/>
        </w:rPr>
        <w:t>‑</w:t>
      </w:r>
      <w:r w:rsidRPr="00751CB8">
        <w:rPr>
          <w:rFonts w:ascii="Arial" w:hAnsi="Arial" w:cs="Arial"/>
          <w:color w:val="000000" w:themeColor="text1"/>
          <w:sz w:val="22"/>
          <w:szCs w:val="22"/>
        </w:rPr>
        <w:t>Year Rates</w:t>
      </w:r>
    </w:p>
    <w:tbl>
      <w:tblPr>
        <w:tblW w:w="0" w:type="auto"/>
        <w:tblLook w:val="04A0" w:firstRow="1" w:lastRow="0" w:firstColumn="1" w:lastColumn="0" w:noHBand="0" w:noVBand="1"/>
      </w:tblPr>
      <w:tblGrid>
        <w:gridCol w:w="1234"/>
        <w:gridCol w:w="1234"/>
        <w:gridCol w:w="1234"/>
        <w:gridCol w:w="1234"/>
        <w:gridCol w:w="1234"/>
        <w:gridCol w:w="1234"/>
        <w:gridCol w:w="1234"/>
      </w:tblGrid>
      <w:tr w:rsidR="00E01275" w:rsidRPr="00751CB8" w14:paraId="54282B84" w14:textId="77777777">
        <w:tc>
          <w:tcPr>
            <w:tcW w:w="1234" w:type="dxa"/>
          </w:tcPr>
          <w:p w14:paraId="2C79EB61"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Scenario</w:t>
            </w:r>
          </w:p>
        </w:tc>
        <w:tc>
          <w:tcPr>
            <w:tcW w:w="1234" w:type="dxa"/>
          </w:tcPr>
          <w:p w14:paraId="5C47B9FC"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Base rate (%)</w:t>
            </w:r>
          </w:p>
        </w:tc>
        <w:tc>
          <w:tcPr>
            <w:tcW w:w="1234" w:type="dxa"/>
          </w:tcPr>
          <w:p w14:paraId="46B6D8E8"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Uplift per year (pp)</w:t>
            </w:r>
          </w:p>
        </w:tc>
        <w:tc>
          <w:tcPr>
            <w:tcW w:w="1234" w:type="dxa"/>
          </w:tcPr>
          <w:p w14:paraId="6FAC0662"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Effective rate in 2030 (%)</w:t>
            </w:r>
          </w:p>
        </w:tc>
        <w:tc>
          <w:tcPr>
            <w:tcW w:w="1234" w:type="dxa"/>
          </w:tcPr>
          <w:p w14:paraId="357DD018"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2024 (US$ bn)</w:t>
            </w:r>
          </w:p>
        </w:tc>
        <w:tc>
          <w:tcPr>
            <w:tcW w:w="1234" w:type="dxa"/>
          </w:tcPr>
          <w:p w14:paraId="36A4F12D"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2025 (US$ bn)</w:t>
            </w:r>
          </w:p>
        </w:tc>
        <w:tc>
          <w:tcPr>
            <w:tcW w:w="1234" w:type="dxa"/>
          </w:tcPr>
          <w:p w14:paraId="70C5179F"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2030 (US$ bn)</w:t>
            </w:r>
          </w:p>
        </w:tc>
      </w:tr>
      <w:tr w:rsidR="00E01275" w:rsidRPr="00751CB8" w14:paraId="70CC7835" w14:textId="77777777">
        <w:tc>
          <w:tcPr>
            <w:tcW w:w="1234" w:type="dxa"/>
          </w:tcPr>
          <w:p w14:paraId="241A516E"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Conservative</w:t>
            </w:r>
          </w:p>
        </w:tc>
        <w:tc>
          <w:tcPr>
            <w:tcW w:w="1234" w:type="dxa"/>
          </w:tcPr>
          <w:p w14:paraId="20B2A0B6"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9.0</w:t>
            </w:r>
          </w:p>
        </w:tc>
        <w:tc>
          <w:tcPr>
            <w:tcW w:w="1234" w:type="dxa"/>
          </w:tcPr>
          <w:p w14:paraId="7FCC1EFC"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0.2</w:t>
            </w:r>
          </w:p>
        </w:tc>
        <w:tc>
          <w:tcPr>
            <w:tcW w:w="1234" w:type="dxa"/>
          </w:tcPr>
          <w:p w14:paraId="54CDA494"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10.2</w:t>
            </w:r>
          </w:p>
        </w:tc>
        <w:tc>
          <w:tcPr>
            <w:tcW w:w="1234" w:type="dxa"/>
          </w:tcPr>
          <w:p w14:paraId="702FA57E"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10.440</w:t>
            </w:r>
          </w:p>
        </w:tc>
        <w:tc>
          <w:tcPr>
            <w:tcW w:w="1234" w:type="dxa"/>
          </w:tcPr>
          <w:p w14:paraId="6EECC9E8"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11.400</w:t>
            </w:r>
          </w:p>
        </w:tc>
        <w:tc>
          <w:tcPr>
            <w:tcW w:w="1234" w:type="dxa"/>
          </w:tcPr>
          <w:p w14:paraId="0D0AC24B"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18.194</w:t>
            </w:r>
          </w:p>
        </w:tc>
      </w:tr>
      <w:tr w:rsidR="00E01275" w:rsidRPr="00751CB8" w14:paraId="39D85199" w14:textId="77777777">
        <w:tc>
          <w:tcPr>
            <w:tcW w:w="1234" w:type="dxa"/>
          </w:tcPr>
          <w:p w14:paraId="6F2C7599"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Baseline</w:t>
            </w:r>
          </w:p>
        </w:tc>
        <w:tc>
          <w:tcPr>
            <w:tcW w:w="1234" w:type="dxa"/>
          </w:tcPr>
          <w:p w14:paraId="17A8619A"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11.0</w:t>
            </w:r>
          </w:p>
        </w:tc>
        <w:tc>
          <w:tcPr>
            <w:tcW w:w="1234" w:type="dxa"/>
          </w:tcPr>
          <w:p w14:paraId="31B4FD87"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0.3</w:t>
            </w:r>
          </w:p>
        </w:tc>
        <w:tc>
          <w:tcPr>
            <w:tcW w:w="1234" w:type="dxa"/>
          </w:tcPr>
          <w:p w14:paraId="076F00CF"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12.8</w:t>
            </w:r>
          </w:p>
        </w:tc>
        <w:tc>
          <w:tcPr>
            <w:tcW w:w="1234" w:type="dxa"/>
          </w:tcPr>
          <w:p w14:paraId="487EB3BB"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10.440</w:t>
            </w:r>
          </w:p>
        </w:tc>
        <w:tc>
          <w:tcPr>
            <w:tcW w:w="1234" w:type="dxa"/>
          </w:tcPr>
          <w:p w14:paraId="3FC1DF0E"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11.620</w:t>
            </w:r>
          </w:p>
        </w:tc>
        <w:tc>
          <w:tcPr>
            <w:tcW w:w="1234" w:type="dxa"/>
          </w:tcPr>
          <w:p w14:paraId="0B96F8ED"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20.661</w:t>
            </w:r>
          </w:p>
        </w:tc>
      </w:tr>
      <w:tr w:rsidR="00E01275" w:rsidRPr="00751CB8" w14:paraId="5B20146A" w14:textId="77777777">
        <w:tc>
          <w:tcPr>
            <w:tcW w:w="1234" w:type="dxa"/>
          </w:tcPr>
          <w:p w14:paraId="3ABF2895"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Optimistic</w:t>
            </w:r>
          </w:p>
        </w:tc>
        <w:tc>
          <w:tcPr>
            <w:tcW w:w="1234" w:type="dxa"/>
          </w:tcPr>
          <w:p w14:paraId="5284B957"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13.5</w:t>
            </w:r>
          </w:p>
        </w:tc>
        <w:tc>
          <w:tcPr>
            <w:tcW w:w="1234" w:type="dxa"/>
          </w:tcPr>
          <w:p w14:paraId="48C716F2"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0.4</w:t>
            </w:r>
          </w:p>
        </w:tc>
        <w:tc>
          <w:tcPr>
            <w:tcW w:w="1234" w:type="dxa"/>
          </w:tcPr>
          <w:p w14:paraId="18C821AD"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15.9</w:t>
            </w:r>
          </w:p>
        </w:tc>
        <w:tc>
          <w:tcPr>
            <w:tcW w:w="1234" w:type="dxa"/>
          </w:tcPr>
          <w:p w14:paraId="50C0A291"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10.440</w:t>
            </w:r>
          </w:p>
        </w:tc>
        <w:tc>
          <w:tcPr>
            <w:tcW w:w="1234" w:type="dxa"/>
          </w:tcPr>
          <w:p w14:paraId="092981C6"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11.891</w:t>
            </w:r>
          </w:p>
        </w:tc>
        <w:tc>
          <w:tcPr>
            <w:tcW w:w="1234" w:type="dxa"/>
          </w:tcPr>
          <w:p w14:paraId="18644E64" w14:textId="77777777" w:rsidR="00B806AA" w:rsidRPr="00751CB8" w:rsidRDefault="00000000">
            <w:pPr>
              <w:rPr>
                <w:rFonts w:ascii="Arial" w:hAnsi="Arial" w:cs="Arial"/>
                <w:color w:val="000000" w:themeColor="text1"/>
                <w:sz w:val="16"/>
                <w:szCs w:val="16"/>
              </w:rPr>
            </w:pPr>
            <w:r w:rsidRPr="00751CB8">
              <w:rPr>
                <w:rFonts w:ascii="Arial" w:hAnsi="Arial" w:cs="Arial"/>
                <w:color w:val="000000" w:themeColor="text1"/>
                <w:sz w:val="16"/>
                <w:szCs w:val="16"/>
              </w:rPr>
              <w:t>24.020</w:t>
            </w:r>
          </w:p>
        </w:tc>
      </w:tr>
    </w:tbl>
    <w:p w14:paraId="78BC0849" w14:textId="77777777" w:rsidR="00B806AA" w:rsidRPr="00751CB8" w:rsidRDefault="00000000">
      <w:pPr>
        <w:rPr>
          <w:rFonts w:ascii="Arial" w:hAnsi="Arial" w:cs="Arial"/>
          <w:color w:val="000000" w:themeColor="text1"/>
          <w:sz w:val="18"/>
          <w:szCs w:val="18"/>
        </w:rPr>
      </w:pPr>
      <w:r w:rsidRPr="00751CB8">
        <w:rPr>
          <w:rFonts w:ascii="Arial" w:hAnsi="Arial" w:cs="Arial"/>
          <w:color w:val="000000" w:themeColor="text1"/>
          <w:sz w:val="18"/>
          <w:szCs w:val="18"/>
        </w:rPr>
        <w:t>Narratives: Conservative – slower capital deployment and staffing constraints; Baseline – steady uptake with procedure</w:t>
      </w:r>
      <w:r w:rsidRPr="00751CB8">
        <w:rPr>
          <w:rFonts w:ascii="Cambria Math" w:hAnsi="Cambria Math" w:cs="Cambria Math"/>
          <w:color w:val="000000" w:themeColor="text1"/>
          <w:sz w:val="18"/>
          <w:szCs w:val="18"/>
        </w:rPr>
        <w:t>‑</w:t>
      </w:r>
      <w:r w:rsidRPr="00751CB8">
        <w:rPr>
          <w:rFonts w:ascii="Arial" w:hAnsi="Arial" w:cs="Arial"/>
          <w:color w:val="000000" w:themeColor="text1"/>
          <w:sz w:val="18"/>
          <w:szCs w:val="18"/>
        </w:rPr>
        <w:t>driven pull</w:t>
      </w:r>
      <w:r w:rsidRPr="00751CB8">
        <w:rPr>
          <w:rFonts w:ascii="Cambria Math" w:hAnsi="Cambria Math" w:cs="Cambria Math"/>
          <w:color w:val="000000" w:themeColor="text1"/>
          <w:sz w:val="18"/>
          <w:szCs w:val="18"/>
        </w:rPr>
        <w:t>‑</w:t>
      </w:r>
      <w:r w:rsidRPr="00751CB8">
        <w:rPr>
          <w:rFonts w:ascii="Arial" w:hAnsi="Arial" w:cs="Arial"/>
          <w:color w:val="000000" w:themeColor="text1"/>
          <w:sz w:val="18"/>
          <w:szCs w:val="18"/>
        </w:rPr>
        <w:t>through; Optimistic – faster diffusion in APAC/LatAm and broader indications.</w:t>
      </w:r>
    </w:p>
    <w:p w14:paraId="3BB11513" w14:textId="77777777" w:rsidR="00751CB8" w:rsidRDefault="00751CB8">
      <w:pPr>
        <w:pStyle w:val="Heading2"/>
        <w:rPr>
          <w:rFonts w:ascii="Arial" w:hAnsi="Arial" w:cs="Arial"/>
          <w:color w:val="000000" w:themeColor="text1"/>
          <w:sz w:val="22"/>
          <w:szCs w:val="22"/>
        </w:rPr>
      </w:pPr>
    </w:p>
    <w:p w14:paraId="0AD06651" w14:textId="77777777" w:rsidR="00751CB8" w:rsidRDefault="00751CB8">
      <w:pPr>
        <w:pStyle w:val="Heading2"/>
        <w:rPr>
          <w:rFonts w:ascii="Arial" w:hAnsi="Arial" w:cs="Arial"/>
          <w:color w:val="000000" w:themeColor="text1"/>
          <w:sz w:val="22"/>
          <w:szCs w:val="22"/>
        </w:rPr>
      </w:pPr>
    </w:p>
    <w:p w14:paraId="6096DA4B" w14:textId="13825A57" w:rsidR="00B806AA" w:rsidRPr="00751CB8" w:rsidRDefault="00000000">
      <w:pPr>
        <w:pStyle w:val="Heading2"/>
        <w:rPr>
          <w:rFonts w:ascii="Arial" w:hAnsi="Arial" w:cs="Arial"/>
          <w:color w:val="000000" w:themeColor="text1"/>
          <w:sz w:val="22"/>
          <w:szCs w:val="22"/>
        </w:rPr>
      </w:pPr>
      <w:r w:rsidRPr="00751CB8">
        <w:rPr>
          <w:rFonts w:ascii="Arial" w:hAnsi="Arial" w:cs="Arial"/>
          <w:color w:val="000000" w:themeColor="text1"/>
          <w:sz w:val="22"/>
          <w:szCs w:val="22"/>
        </w:rPr>
        <w:t>Year</w:t>
      </w:r>
      <w:r w:rsidRPr="00751CB8">
        <w:rPr>
          <w:rFonts w:ascii="Cambria Math" w:hAnsi="Cambria Math" w:cs="Cambria Math"/>
          <w:color w:val="000000" w:themeColor="text1"/>
          <w:sz w:val="22"/>
          <w:szCs w:val="22"/>
        </w:rPr>
        <w:t>‑</w:t>
      </w:r>
      <w:r w:rsidRPr="00751CB8">
        <w:rPr>
          <w:rFonts w:ascii="Arial" w:hAnsi="Arial" w:cs="Arial"/>
          <w:color w:val="000000" w:themeColor="text1"/>
          <w:sz w:val="22"/>
          <w:szCs w:val="22"/>
        </w:rPr>
        <w:t>by</w:t>
      </w:r>
      <w:r w:rsidRPr="00751CB8">
        <w:rPr>
          <w:rFonts w:ascii="Cambria Math" w:hAnsi="Cambria Math" w:cs="Cambria Math"/>
          <w:color w:val="000000" w:themeColor="text1"/>
          <w:sz w:val="22"/>
          <w:szCs w:val="22"/>
        </w:rPr>
        <w:t>‑</w:t>
      </w:r>
      <w:r w:rsidRPr="00751CB8">
        <w:rPr>
          <w:rFonts w:ascii="Arial" w:hAnsi="Arial" w:cs="Arial"/>
          <w:color w:val="000000" w:themeColor="text1"/>
          <w:sz w:val="22"/>
          <w:szCs w:val="22"/>
        </w:rPr>
        <w:t>Year Data Sources and Provenance (2020–2030)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095"/>
        <w:gridCol w:w="1622"/>
        <w:gridCol w:w="1198"/>
        <w:gridCol w:w="1061"/>
        <w:gridCol w:w="1099"/>
        <w:gridCol w:w="1604"/>
      </w:tblGrid>
      <w:tr w:rsidR="00E01275" w:rsidRPr="00751CB8" w14:paraId="32B50287" w14:textId="77777777" w:rsidTr="00E01275">
        <w:tc>
          <w:tcPr>
            <w:tcW w:w="1234" w:type="dxa"/>
          </w:tcPr>
          <w:p w14:paraId="1641602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Year</w:t>
            </w:r>
          </w:p>
        </w:tc>
        <w:tc>
          <w:tcPr>
            <w:tcW w:w="1234" w:type="dxa"/>
          </w:tcPr>
          <w:p w14:paraId="6512FAD4"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Observed (USD bn)</w:t>
            </w:r>
          </w:p>
        </w:tc>
        <w:tc>
          <w:tcPr>
            <w:tcW w:w="1234" w:type="dxa"/>
          </w:tcPr>
          <w:p w14:paraId="242D9379"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Observed source</w:t>
            </w:r>
          </w:p>
        </w:tc>
        <w:tc>
          <w:tcPr>
            <w:tcW w:w="1234" w:type="dxa"/>
          </w:tcPr>
          <w:p w14:paraId="037F577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Conservative</w:t>
            </w:r>
          </w:p>
        </w:tc>
        <w:tc>
          <w:tcPr>
            <w:tcW w:w="1234" w:type="dxa"/>
          </w:tcPr>
          <w:p w14:paraId="474BF14F"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Baseline</w:t>
            </w:r>
          </w:p>
        </w:tc>
        <w:tc>
          <w:tcPr>
            <w:tcW w:w="1234" w:type="dxa"/>
          </w:tcPr>
          <w:p w14:paraId="4775458E"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Optimistic</w:t>
            </w:r>
          </w:p>
        </w:tc>
        <w:tc>
          <w:tcPr>
            <w:tcW w:w="1234" w:type="dxa"/>
          </w:tcPr>
          <w:p w14:paraId="78FA3AF7"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Notes</w:t>
            </w:r>
          </w:p>
        </w:tc>
      </w:tr>
      <w:tr w:rsidR="00E01275" w:rsidRPr="00751CB8" w14:paraId="0789BA19" w14:textId="77777777" w:rsidTr="00E01275">
        <w:tc>
          <w:tcPr>
            <w:tcW w:w="1234" w:type="dxa"/>
          </w:tcPr>
          <w:p w14:paraId="652EC4FD"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2020</w:t>
            </w:r>
          </w:p>
        </w:tc>
        <w:tc>
          <w:tcPr>
            <w:tcW w:w="1234" w:type="dxa"/>
          </w:tcPr>
          <w:p w14:paraId="4E4816D8"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7.2</w:t>
            </w:r>
          </w:p>
        </w:tc>
        <w:tc>
          <w:tcPr>
            <w:tcW w:w="1234" w:type="dxa"/>
          </w:tcPr>
          <w:p w14:paraId="3EA13CC1"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Company</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anchored 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triangulation; aligns to 2024 base of US$10.44 bn.</w:t>
            </w:r>
          </w:p>
        </w:tc>
        <w:tc>
          <w:tcPr>
            <w:tcW w:w="1234" w:type="dxa"/>
          </w:tcPr>
          <w:p w14:paraId="4AA47B40"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23191680"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1480F496"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3233C7EE"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only; excludes orthopaedics/spine; nominal USD.</w:t>
            </w:r>
          </w:p>
        </w:tc>
      </w:tr>
      <w:tr w:rsidR="00E01275" w:rsidRPr="00751CB8" w14:paraId="68B7D2CE" w14:textId="77777777" w:rsidTr="00E01275">
        <w:tc>
          <w:tcPr>
            <w:tcW w:w="1234" w:type="dxa"/>
          </w:tcPr>
          <w:p w14:paraId="49B5133E"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2021</w:t>
            </w:r>
          </w:p>
        </w:tc>
        <w:tc>
          <w:tcPr>
            <w:tcW w:w="1234" w:type="dxa"/>
          </w:tcPr>
          <w:p w14:paraId="42B01A46"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7.7</w:t>
            </w:r>
          </w:p>
        </w:tc>
        <w:tc>
          <w:tcPr>
            <w:tcW w:w="1234" w:type="dxa"/>
          </w:tcPr>
          <w:p w14:paraId="78ECC6B8"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Company</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anchored 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triangulation; aligns to 2024 base of US$10.44 bn.</w:t>
            </w:r>
          </w:p>
        </w:tc>
        <w:tc>
          <w:tcPr>
            <w:tcW w:w="1234" w:type="dxa"/>
          </w:tcPr>
          <w:p w14:paraId="2E907223"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767774C4"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5FC76B0D"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0062C8A3"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only; excludes orthopaedics/spine; nominal USD.</w:t>
            </w:r>
          </w:p>
        </w:tc>
      </w:tr>
      <w:tr w:rsidR="00E01275" w:rsidRPr="00751CB8" w14:paraId="3EA44082" w14:textId="77777777" w:rsidTr="00E01275">
        <w:tc>
          <w:tcPr>
            <w:tcW w:w="1234" w:type="dxa"/>
          </w:tcPr>
          <w:p w14:paraId="6F1F0E83"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2022</w:t>
            </w:r>
          </w:p>
        </w:tc>
        <w:tc>
          <w:tcPr>
            <w:tcW w:w="1234" w:type="dxa"/>
          </w:tcPr>
          <w:p w14:paraId="157CB27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8.5</w:t>
            </w:r>
          </w:p>
        </w:tc>
        <w:tc>
          <w:tcPr>
            <w:tcW w:w="1234" w:type="dxa"/>
          </w:tcPr>
          <w:p w14:paraId="6BD7A199"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Company</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anchored 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triangulation; aligns to 2024 base of US$10.44 bn.</w:t>
            </w:r>
          </w:p>
        </w:tc>
        <w:tc>
          <w:tcPr>
            <w:tcW w:w="1234" w:type="dxa"/>
          </w:tcPr>
          <w:p w14:paraId="4A5F5C06"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475A2C51"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69630CF8"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17F5755D"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only; excludes orthopaedics/spine; nominal USD.</w:t>
            </w:r>
          </w:p>
        </w:tc>
      </w:tr>
      <w:tr w:rsidR="00E01275" w:rsidRPr="00751CB8" w14:paraId="71985BB5" w14:textId="77777777" w:rsidTr="00E01275">
        <w:tc>
          <w:tcPr>
            <w:tcW w:w="1234" w:type="dxa"/>
          </w:tcPr>
          <w:p w14:paraId="3E4B9F42"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2023</w:t>
            </w:r>
          </w:p>
        </w:tc>
        <w:tc>
          <w:tcPr>
            <w:tcW w:w="1234" w:type="dxa"/>
          </w:tcPr>
          <w:p w14:paraId="76296D42"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9.4</w:t>
            </w:r>
          </w:p>
        </w:tc>
        <w:tc>
          <w:tcPr>
            <w:tcW w:w="1234" w:type="dxa"/>
          </w:tcPr>
          <w:p w14:paraId="2E51655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Company</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anchored 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triangulation; aligns to 2024 base of US$10.44 bn.</w:t>
            </w:r>
          </w:p>
        </w:tc>
        <w:tc>
          <w:tcPr>
            <w:tcW w:w="1234" w:type="dxa"/>
          </w:tcPr>
          <w:p w14:paraId="03AA0896"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2D1822A2"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11F566EA"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0E79CC1E"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only; excludes orthopaedics/spine; nominal USD.</w:t>
            </w:r>
          </w:p>
        </w:tc>
      </w:tr>
      <w:tr w:rsidR="00E01275" w:rsidRPr="00751CB8" w14:paraId="0340414C" w14:textId="77777777" w:rsidTr="00E01275">
        <w:tc>
          <w:tcPr>
            <w:tcW w:w="1234" w:type="dxa"/>
          </w:tcPr>
          <w:p w14:paraId="7D033386"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2024</w:t>
            </w:r>
          </w:p>
        </w:tc>
        <w:tc>
          <w:tcPr>
            <w:tcW w:w="1234" w:type="dxa"/>
          </w:tcPr>
          <w:p w14:paraId="7EDC96C9"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10.44</w:t>
            </w:r>
          </w:p>
        </w:tc>
        <w:tc>
          <w:tcPr>
            <w:tcW w:w="1234" w:type="dxa"/>
          </w:tcPr>
          <w:p w14:paraId="6F9187A4"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Company</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anchored 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triangulation; aligns to 2024 base of US$10.44 bn.</w:t>
            </w:r>
          </w:p>
        </w:tc>
        <w:tc>
          <w:tcPr>
            <w:tcW w:w="1234" w:type="dxa"/>
          </w:tcPr>
          <w:p w14:paraId="3D0D8AB3"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4B8ED310"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4143E514"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64B8090E"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Soft</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tissue only; excludes orthopaedics/spine; nominal USD.</w:t>
            </w:r>
          </w:p>
        </w:tc>
      </w:tr>
      <w:tr w:rsidR="00E01275" w:rsidRPr="00751CB8" w14:paraId="0501597C" w14:textId="77777777" w:rsidTr="00E01275">
        <w:tc>
          <w:tcPr>
            <w:tcW w:w="1234" w:type="dxa"/>
          </w:tcPr>
          <w:p w14:paraId="5315A09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2025</w:t>
            </w:r>
          </w:p>
        </w:tc>
        <w:tc>
          <w:tcPr>
            <w:tcW w:w="1234" w:type="dxa"/>
          </w:tcPr>
          <w:p w14:paraId="7FBF234A"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62B9BB93"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0A5DF39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11.400</w:t>
            </w:r>
          </w:p>
        </w:tc>
        <w:tc>
          <w:tcPr>
            <w:tcW w:w="1234" w:type="dxa"/>
          </w:tcPr>
          <w:p w14:paraId="51576F27"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11.620</w:t>
            </w:r>
          </w:p>
        </w:tc>
        <w:tc>
          <w:tcPr>
            <w:tcW w:w="1234" w:type="dxa"/>
          </w:tcPr>
          <w:p w14:paraId="22500FF3"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11.891</w:t>
            </w:r>
          </w:p>
        </w:tc>
        <w:tc>
          <w:tcPr>
            <w:tcW w:w="1234" w:type="dxa"/>
          </w:tcPr>
          <w:p w14:paraId="74809C84"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Procedure</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share uplift applied linearly to annual growth rate; see scenario settings.</w:t>
            </w:r>
          </w:p>
        </w:tc>
      </w:tr>
      <w:tr w:rsidR="00E01275" w:rsidRPr="00751CB8" w14:paraId="785F85D8" w14:textId="77777777" w:rsidTr="00E01275">
        <w:tc>
          <w:tcPr>
            <w:tcW w:w="1234" w:type="dxa"/>
          </w:tcPr>
          <w:p w14:paraId="1FD2A252"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2026</w:t>
            </w:r>
          </w:p>
        </w:tc>
        <w:tc>
          <w:tcPr>
            <w:tcW w:w="1234" w:type="dxa"/>
          </w:tcPr>
          <w:p w14:paraId="6EA9E712"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0712A217"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70E10C44"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12.472</w:t>
            </w:r>
          </w:p>
        </w:tc>
        <w:tc>
          <w:tcPr>
            <w:tcW w:w="1234" w:type="dxa"/>
          </w:tcPr>
          <w:p w14:paraId="04A08A96"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12.968</w:t>
            </w:r>
          </w:p>
        </w:tc>
        <w:tc>
          <w:tcPr>
            <w:tcW w:w="1234" w:type="dxa"/>
          </w:tcPr>
          <w:p w14:paraId="1DF155F7"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13.592</w:t>
            </w:r>
          </w:p>
        </w:tc>
        <w:tc>
          <w:tcPr>
            <w:tcW w:w="1234" w:type="dxa"/>
          </w:tcPr>
          <w:p w14:paraId="4E7BA46B"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Procedure</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share uplift applied linearly to annual growth rate; see scenario settings.</w:t>
            </w:r>
          </w:p>
        </w:tc>
      </w:tr>
      <w:tr w:rsidR="00E01275" w:rsidRPr="00751CB8" w14:paraId="4415DEA8" w14:textId="77777777" w:rsidTr="00E01275">
        <w:tc>
          <w:tcPr>
            <w:tcW w:w="1234" w:type="dxa"/>
          </w:tcPr>
          <w:p w14:paraId="039E9BAB"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2027</w:t>
            </w:r>
          </w:p>
        </w:tc>
        <w:tc>
          <w:tcPr>
            <w:tcW w:w="1234" w:type="dxa"/>
          </w:tcPr>
          <w:p w14:paraId="76C6ADAF"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3F02061D"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4BB163F8"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13.669</w:t>
            </w:r>
          </w:p>
        </w:tc>
        <w:tc>
          <w:tcPr>
            <w:tcW w:w="1234" w:type="dxa"/>
          </w:tcPr>
          <w:p w14:paraId="6F550E56"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14.511</w:t>
            </w:r>
          </w:p>
        </w:tc>
        <w:tc>
          <w:tcPr>
            <w:tcW w:w="1234" w:type="dxa"/>
          </w:tcPr>
          <w:p w14:paraId="2D13F301"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15.590</w:t>
            </w:r>
          </w:p>
        </w:tc>
        <w:tc>
          <w:tcPr>
            <w:tcW w:w="1234" w:type="dxa"/>
          </w:tcPr>
          <w:p w14:paraId="715E2748"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Procedure</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share uplift applied linearly to annual growth rate; see scenario settings.</w:t>
            </w:r>
          </w:p>
        </w:tc>
      </w:tr>
      <w:tr w:rsidR="00E01275" w:rsidRPr="00751CB8" w14:paraId="61ED7648" w14:textId="77777777" w:rsidTr="00E01275">
        <w:tc>
          <w:tcPr>
            <w:tcW w:w="1234" w:type="dxa"/>
          </w:tcPr>
          <w:p w14:paraId="160BA348"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2028</w:t>
            </w:r>
          </w:p>
        </w:tc>
        <w:tc>
          <w:tcPr>
            <w:tcW w:w="1234" w:type="dxa"/>
          </w:tcPr>
          <w:p w14:paraId="5783C93C"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75CBF8F5"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2D1ABA01"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15.009</w:t>
            </w:r>
          </w:p>
        </w:tc>
        <w:tc>
          <w:tcPr>
            <w:tcW w:w="1234" w:type="dxa"/>
          </w:tcPr>
          <w:p w14:paraId="755E7A86"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16.281</w:t>
            </w:r>
          </w:p>
        </w:tc>
        <w:tc>
          <w:tcPr>
            <w:tcW w:w="1234" w:type="dxa"/>
          </w:tcPr>
          <w:p w14:paraId="448F4F6E"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17.944</w:t>
            </w:r>
          </w:p>
        </w:tc>
        <w:tc>
          <w:tcPr>
            <w:tcW w:w="1234" w:type="dxa"/>
          </w:tcPr>
          <w:p w14:paraId="48E70667"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Procedure</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share uplift applied linearly to annual growth rate; see scenario settings.</w:t>
            </w:r>
          </w:p>
        </w:tc>
      </w:tr>
      <w:tr w:rsidR="00E01275" w:rsidRPr="00751CB8" w14:paraId="208EA63B" w14:textId="77777777" w:rsidTr="00E01275">
        <w:tc>
          <w:tcPr>
            <w:tcW w:w="1234" w:type="dxa"/>
          </w:tcPr>
          <w:p w14:paraId="6DDF9254"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2029</w:t>
            </w:r>
          </w:p>
        </w:tc>
        <w:tc>
          <w:tcPr>
            <w:tcW w:w="1234" w:type="dxa"/>
          </w:tcPr>
          <w:p w14:paraId="34FD891E"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7D820D40"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014349C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16.510</w:t>
            </w:r>
          </w:p>
        </w:tc>
        <w:tc>
          <w:tcPr>
            <w:tcW w:w="1234" w:type="dxa"/>
          </w:tcPr>
          <w:p w14:paraId="0D726F7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18.316</w:t>
            </w:r>
          </w:p>
        </w:tc>
        <w:tc>
          <w:tcPr>
            <w:tcW w:w="1234" w:type="dxa"/>
          </w:tcPr>
          <w:p w14:paraId="7A2B4B6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20.725</w:t>
            </w:r>
          </w:p>
        </w:tc>
        <w:tc>
          <w:tcPr>
            <w:tcW w:w="1234" w:type="dxa"/>
          </w:tcPr>
          <w:p w14:paraId="69F96B1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Procedure</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share uplift applied linearly to annual growth rate; see scenario settings.</w:t>
            </w:r>
          </w:p>
        </w:tc>
      </w:tr>
      <w:tr w:rsidR="00E01275" w:rsidRPr="00751CB8" w14:paraId="32220EE8" w14:textId="77777777" w:rsidTr="00E01275">
        <w:tc>
          <w:tcPr>
            <w:tcW w:w="1234" w:type="dxa"/>
          </w:tcPr>
          <w:p w14:paraId="1B8BDA7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2030</w:t>
            </w:r>
          </w:p>
        </w:tc>
        <w:tc>
          <w:tcPr>
            <w:tcW w:w="1234" w:type="dxa"/>
          </w:tcPr>
          <w:p w14:paraId="5F499199"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24639085" w14:textId="77777777" w:rsidR="00B806AA" w:rsidRPr="00751CB8" w:rsidRDefault="00B806AA" w:rsidP="00751CB8">
            <w:pPr>
              <w:spacing w:after="0" w:line="240" w:lineRule="auto"/>
              <w:rPr>
                <w:rFonts w:ascii="Arial" w:hAnsi="Arial" w:cs="Arial"/>
                <w:color w:val="000000" w:themeColor="text1"/>
                <w:sz w:val="16"/>
                <w:szCs w:val="16"/>
              </w:rPr>
            </w:pPr>
          </w:p>
        </w:tc>
        <w:tc>
          <w:tcPr>
            <w:tcW w:w="1234" w:type="dxa"/>
          </w:tcPr>
          <w:p w14:paraId="1AAC1469"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18.194</w:t>
            </w:r>
          </w:p>
        </w:tc>
        <w:tc>
          <w:tcPr>
            <w:tcW w:w="1234" w:type="dxa"/>
          </w:tcPr>
          <w:p w14:paraId="5697CEAB"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20.661</w:t>
            </w:r>
          </w:p>
        </w:tc>
        <w:tc>
          <w:tcPr>
            <w:tcW w:w="1234" w:type="dxa"/>
          </w:tcPr>
          <w:p w14:paraId="18E05DC0"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24.020</w:t>
            </w:r>
          </w:p>
        </w:tc>
        <w:tc>
          <w:tcPr>
            <w:tcW w:w="1234" w:type="dxa"/>
          </w:tcPr>
          <w:p w14:paraId="72794A3E"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Procedure</w:t>
            </w:r>
            <w:r w:rsidRPr="00751CB8">
              <w:rPr>
                <w:rFonts w:ascii="Cambria Math" w:hAnsi="Cambria Math" w:cs="Cambria Math"/>
                <w:color w:val="000000" w:themeColor="text1"/>
                <w:sz w:val="16"/>
                <w:szCs w:val="16"/>
              </w:rPr>
              <w:t>‑</w:t>
            </w:r>
            <w:r w:rsidRPr="00751CB8">
              <w:rPr>
                <w:rFonts w:ascii="Arial" w:hAnsi="Arial" w:cs="Arial"/>
                <w:color w:val="000000" w:themeColor="text1"/>
                <w:sz w:val="16"/>
                <w:szCs w:val="16"/>
              </w:rPr>
              <w:t>share uplift applied linearly to annual growth rate; see scenario settings.</w:t>
            </w:r>
          </w:p>
        </w:tc>
      </w:tr>
    </w:tbl>
    <w:p w14:paraId="5FA2A0CA" w14:textId="77777777" w:rsidR="00B806AA" w:rsidRPr="00751CB8" w:rsidRDefault="00000000">
      <w:pPr>
        <w:pStyle w:val="Heading2"/>
        <w:rPr>
          <w:rFonts w:ascii="Arial" w:hAnsi="Arial" w:cs="Arial"/>
          <w:color w:val="000000" w:themeColor="text1"/>
          <w:sz w:val="22"/>
          <w:szCs w:val="22"/>
        </w:rPr>
      </w:pPr>
      <w:r w:rsidRPr="00751CB8">
        <w:rPr>
          <w:rFonts w:ascii="Arial" w:hAnsi="Arial" w:cs="Arial"/>
          <w:color w:val="000000" w:themeColor="text1"/>
          <w:sz w:val="22"/>
          <w:szCs w:val="22"/>
        </w:rPr>
        <w:t>Embedded CSV: Forecast_2024_2030 (Procedure</w:t>
      </w:r>
      <w:r w:rsidRPr="00751CB8">
        <w:rPr>
          <w:rFonts w:ascii="Cambria Math" w:hAnsi="Cambria Math" w:cs="Cambria Math"/>
          <w:color w:val="000000" w:themeColor="text1"/>
          <w:sz w:val="22"/>
          <w:szCs w:val="22"/>
        </w:rPr>
        <w:t>‑</w:t>
      </w:r>
      <w:r w:rsidRPr="00751CB8">
        <w:rPr>
          <w:rFonts w:ascii="Arial" w:hAnsi="Arial" w:cs="Arial"/>
          <w:color w:val="000000" w:themeColor="text1"/>
          <w:sz w:val="22"/>
          <w:szCs w:val="22"/>
        </w:rPr>
        <w:t>Adjusted)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2877"/>
        <w:gridCol w:w="2878"/>
      </w:tblGrid>
      <w:tr w:rsidR="00E01275" w:rsidRPr="00751CB8" w14:paraId="77EBA7AC" w14:textId="77777777" w:rsidTr="00751CB8">
        <w:trPr>
          <w:trHeight w:val="227"/>
        </w:trPr>
        <w:tc>
          <w:tcPr>
            <w:tcW w:w="2880" w:type="dxa"/>
          </w:tcPr>
          <w:p w14:paraId="7CFF3C4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Year</w:t>
            </w:r>
          </w:p>
        </w:tc>
        <w:tc>
          <w:tcPr>
            <w:tcW w:w="2880" w:type="dxa"/>
          </w:tcPr>
          <w:p w14:paraId="66B9246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Scenario</w:t>
            </w:r>
          </w:p>
        </w:tc>
        <w:tc>
          <w:tcPr>
            <w:tcW w:w="2880" w:type="dxa"/>
          </w:tcPr>
          <w:p w14:paraId="67B723F7"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Spending_USD_billion</w:t>
            </w:r>
          </w:p>
        </w:tc>
      </w:tr>
      <w:tr w:rsidR="00E01275" w:rsidRPr="00751CB8" w14:paraId="642C48E0" w14:textId="77777777" w:rsidTr="00751CB8">
        <w:trPr>
          <w:trHeight w:val="227"/>
        </w:trPr>
        <w:tc>
          <w:tcPr>
            <w:tcW w:w="2880" w:type="dxa"/>
          </w:tcPr>
          <w:p w14:paraId="268C75B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2024</w:t>
            </w:r>
          </w:p>
        </w:tc>
        <w:tc>
          <w:tcPr>
            <w:tcW w:w="2880" w:type="dxa"/>
          </w:tcPr>
          <w:p w14:paraId="758D77B3"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Conservative</w:t>
            </w:r>
          </w:p>
        </w:tc>
        <w:tc>
          <w:tcPr>
            <w:tcW w:w="2880" w:type="dxa"/>
          </w:tcPr>
          <w:p w14:paraId="4F35F607"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10.440</w:t>
            </w:r>
          </w:p>
        </w:tc>
      </w:tr>
      <w:tr w:rsidR="00E01275" w:rsidRPr="00751CB8" w14:paraId="32EE0AD9" w14:textId="77777777" w:rsidTr="00751CB8">
        <w:trPr>
          <w:trHeight w:val="227"/>
        </w:trPr>
        <w:tc>
          <w:tcPr>
            <w:tcW w:w="2880" w:type="dxa"/>
          </w:tcPr>
          <w:p w14:paraId="11F4AD84"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lastRenderedPageBreak/>
              <w:t>2025</w:t>
            </w:r>
          </w:p>
        </w:tc>
        <w:tc>
          <w:tcPr>
            <w:tcW w:w="2880" w:type="dxa"/>
          </w:tcPr>
          <w:p w14:paraId="72B16942"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Conservative</w:t>
            </w:r>
          </w:p>
        </w:tc>
        <w:tc>
          <w:tcPr>
            <w:tcW w:w="2880" w:type="dxa"/>
          </w:tcPr>
          <w:p w14:paraId="1B1FEDAF"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11.400</w:t>
            </w:r>
          </w:p>
        </w:tc>
      </w:tr>
      <w:tr w:rsidR="00E01275" w:rsidRPr="00751CB8" w14:paraId="216F31CD" w14:textId="77777777" w:rsidTr="00751CB8">
        <w:trPr>
          <w:trHeight w:val="227"/>
        </w:trPr>
        <w:tc>
          <w:tcPr>
            <w:tcW w:w="2880" w:type="dxa"/>
          </w:tcPr>
          <w:p w14:paraId="7122EA1D"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2026</w:t>
            </w:r>
          </w:p>
        </w:tc>
        <w:tc>
          <w:tcPr>
            <w:tcW w:w="2880" w:type="dxa"/>
          </w:tcPr>
          <w:p w14:paraId="637C5F15"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Conservative</w:t>
            </w:r>
          </w:p>
        </w:tc>
        <w:tc>
          <w:tcPr>
            <w:tcW w:w="2880" w:type="dxa"/>
          </w:tcPr>
          <w:p w14:paraId="35588EE8"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12.472</w:t>
            </w:r>
          </w:p>
        </w:tc>
      </w:tr>
      <w:tr w:rsidR="00E01275" w:rsidRPr="00751CB8" w14:paraId="57FC4091" w14:textId="77777777" w:rsidTr="00751CB8">
        <w:trPr>
          <w:trHeight w:val="227"/>
        </w:trPr>
        <w:tc>
          <w:tcPr>
            <w:tcW w:w="2880" w:type="dxa"/>
          </w:tcPr>
          <w:p w14:paraId="41D63EF1"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2027</w:t>
            </w:r>
          </w:p>
        </w:tc>
        <w:tc>
          <w:tcPr>
            <w:tcW w:w="2880" w:type="dxa"/>
          </w:tcPr>
          <w:p w14:paraId="5339899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Conservative</w:t>
            </w:r>
          </w:p>
        </w:tc>
        <w:tc>
          <w:tcPr>
            <w:tcW w:w="2880" w:type="dxa"/>
          </w:tcPr>
          <w:p w14:paraId="6160C1EB"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13.669</w:t>
            </w:r>
          </w:p>
        </w:tc>
      </w:tr>
      <w:tr w:rsidR="00E01275" w:rsidRPr="00751CB8" w14:paraId="357BF731" w14:textId="77777777" w:rsidTr="00751CB8">
        <w:trPr>
          <w:trHeight w:val="227"/>
        </w:trPr>
        <w:tc>
          <w:tcPr>
            <w:tcW w:w="2880" w:type="dxa"/>
          </w:tcPr>
          <w:p w14:paraId="0345DF9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2028</w:t>
            </w:r>
          </w:p>
        </w:tc>
        <w:tc>
          <w:tcPr>
            <w:tcW w:w="2880" w:type="dxa"/>
          </w:tcPr>
          <w:p w14:paraId="2AA00A7D"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Conservative</w:t>
            </w:r>
          </w:p>
        </w:tc>
        <w:tc>
          <w:tcPr>
            <w:tcW w:w="2880" w:type="dxa"/>
          </w:tcPr>
          <w:p w14:paraId="58BF1455"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15.009</w:t>
            </w:r>
          </w:p>
        </w:tc>
      </w:tr>
      <w:tr w:rsidR="00E01275" w:rsidRPr="00751CB8" w14:paraId="69347701" w14:textId="77777777" w:rsidTr="00751CB8">
        <w:trPr>
          <w:trHeight w:val="227"/>
        </w:trPr>
        <w:tc>
          <w:tcPr>
            <w:tcW w:w="2880" w:type="dxa"/>
          </w:tcPr>
          <w:p w14:paraId="6FC6E55F"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2029</w:t>
            </w:r>
          </w:p>
        </w:tc>
        <w:tc>
          <w:tcPr>
            <w:tcW w:w="2880" w:type="dxa"/>
          </w:tcPr>
          <w:p w14:paraId="3C5A4DC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Conservative</w:t>
            </w:r>
          </w:p>
        </w:tc>
        <w:tc>
          <w:tcPr>
            <w:tcW w:w="2880" w:type="dxa"/>
          </w:tcPr>
          <w:p w14:paraId="6F674E51"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16.510</w:t>
            </w:r>
          </w:p>
        </w:tc>
      </w:tr>
      <w:tr w:rsidR="00E01275" w:rsidRPr="00751CB8" w14:paraId="55BDF04C" w14:textId="77777777" w:rsidTr="00751CB8">
        <w:trPr>
          <w:trHeight w:val="227"/>
        </w:trPr>
        <w:tc>
          <w:tcPr>
            <w:tcW w:w="2880" w:type="dxa"/>
          </w:tcPr>
          <w:p w14:paraId="1CC64BB0"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2030</w:t>
            </w:r>
          </w:p>
        </w:tc>
        <w:tc>
          <w:tcPr>
            <w:tcW w:w="2880" w:type="dxa"/>
          </w:tcPr>
          <w:p w14:paraId="7E526F1B"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Conservative</w:t>
            </w:r>
          </w:p>
        </w:tc>
        <w:tc>
          <w:tcPr>
            <w:tcW w:w="2880" w:type="dxa"/>
          </w:tcPr>
          <w:p w14:paraId="3B7D6CA6"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18.194</w:t>
            </w:r>
          </w:p>
        </w:tc>
      </w:tr>
      <w:tr w:rsidR="00E01275" w:rsidRPr="00751CB8" w14:paraId="589466FE" w14:textId="77777777" w:rsidTr="00751CB8">
        <w:trPr>
          <w:trHeight w:val="227"/>
        </w:trPr>
        <w:tc>
          <w:tcPr>
            <w:tcW w:w="2880" w:type="dxa"/>
          </w:tcPr>
          <w:p w14:paraId="72B88533"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2024</w:t>
            </w:r>
          </w:p>
        </w:tc>
        <w:tc>
          <w:tcPr>
            <w:tcW w:w="2880" w:type="dxa"/>
          </w:tcPr>
          <w:p w14:paraId="2BDADD74"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Baseline</w:t>
            </w:r>
          </w:p>
        </w:tc>
        <w:tc>
          <w:tcPr>
            <w:tcW w:w="2880" w:type="dxa"/>
          </w:tcPr>
          <w:p w14:paraId="066E8296"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10.440</w:t>
            </w:r>
          </w:p>
        </w:tc>
      </w:tr>
      <w:tr w:rsidR="00E01275" w:rsidRPr="00751CB8" w14:paraId="0C270860" w14:textId="77777777" w:rsidTr="00751CB8">
        <w:trPr>
          <w:trHeight w:val="227"/>
        </w:trPr>
        <w:tc>
          <w:tcPr>
            <w:tcW w:w="2880" w:type="dxa"/>
          </w:tcPr>
          <w:p w14:paraId="50400872"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2025</w:t>
            </w:r>
          </w:p>
        </w:tc>
        <w:tc>
          <w:tcPr>
            <w:tcW w:w="2880" w:type="dxa"/>
          </w:tcPr>
          <w:p w14:paraId="4390E604"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Baseline</w:t>
            </w:r>
          </w:p>
        </w:tc>
        <w:tc>
          <w:tcPr>
            <w:tcW w:w="2880" w:type="dxa"/>
          </w:tcPr>
          <w:p w14:paraId="28D4F0CF"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11.620</w:t>
            </w:r>
          </w:p>
        </w:tc>
      </w:tr>
      <w:tr w:rsidR="00E01275" w:rsidRPr="00751CB8" w14:paraId="4B99BC05" w14:textId="77777777" w:rsidTr="00751CB8">
        <w:trPr>
          <w:trHeight w:val="227"/>
        </w:trPr>
        <w:tc>
          <w:tcPr>
            <w:tcW w:w="2880" w:type="dxa"/>
          </w:tcPr>
          <w:p w14:paraId="5078EFD0"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2026</w:t>
            </w:r>
          </w:p>
        </w:tc>
        <w:tc>
          <w:tcPr>
            <w:tcW w:w="2880" w:type="dxa"/>
          </w:tcPr>
          <w:p w14:paraId="4A94ED75"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Baseline</w:t>
            </w:r>
          </w:p>
        </w:tc>
        <w:tc>
          <w:tcPr>
            <w:tcW w:w="2880" w:type="dxa"/>
          </w:tcPr>
          <w:p w14:paraId="4E6674C0"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12.968</w:t>
            </w:r>
          </w:p>
        </w:tc>
      </w:tr>
      <w:tr w:rsidR="00E01275" w:rsidRPr="00751CB8" w14:paraId="7F79C5B4" w14:textId="77777777" w:rsidTr="00751CB8">
        <w:trPr>
          <w:trHeight w:val="227"/>
        </w:trPr>
        <w:tc>
          <w:tcPr>
            <w:tcW w:w="2880" w:type="dxa"/>
          </w:tcPr>
          <w:p w14:paraId="63CEF696"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2027</w:t>
            </w:r>
          </w:p>
        </w:tc>
        <w:tc>
          <w:tcPr>
            <w:tcW w:w="2880" w:type="dxa"/>
          </w:tcPr>
          <w:p w14:paraId="15D6D27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Baseline</w:t>
            </w:r>
          </w:p>
        </w:tc>
        <w:tc>
          <w:tcPr>
            <w:tcW w:w="2880" w:type="dxa"/>
          </w:tcPr>
          <w:p w14:paraId="6D556111"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14.511</w:t>
            </w:r>
          </w:p>
        </w:tc>
      </w:tr>
      <w:tr w:rsidR="00E01275" w:rsidRPr="00751CB8" w14:paraId="57806EF9" w14:textId="77777777" w:rsidTr="00751CB8">
        <w:trPr>
          <w:trHeight w:val="227"/>
        </w:trPr>
        <w:tc>
          <w:tcPr>
            <w:tcW w:w="2880" w:type="dxa"/>
          </w:tcPr>
          <w:p w14:paraId="7DA28665"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2028</w:t>
            </w:r>
          </w:p>
        </w:tc>
        <w:tc>
          <w:tcPr>
            <w:tcW w:w="2880" w:type="dxa"/>
          </w:tcPr>
          <w:p w14:paraId="5F0AC235"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Baseline</w:t>
            </w:r>
          </w:p>
        </w:tc>
        <w:tc>
          <w:tcPr>
            <w:tcW w:w="2880" w:type="dxa"/>
          </w:tcPr>
          <w:p w14:paraId="3AC94C49"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16.281</w:t>
            </w:r>
          </w:p>
        </w:tc>
      </w:tr>
      <w:tr w:rsidR="00E01275" w:rsidRPr="00751CB8" w14:paraId="4D17A33E" w14:textId="77777777" w:rsidTr="00751CB8">
        <w:trPr>
          <w:trHeight w:val="227"/>
        </w:trPr>
        <w:tc>
          <w:tcPr>
            <w:tcW w:w="2880" w:type="dxa"/>
          </w:tcPr>
          <w:p w14:paraId="752E3A38"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2029</w:t>
            </w:r>
          </w:p>
        </w:tc>
        <w:tc>
          <w:tcPr>
            <w:tcW w:w="2880" w:type="dxa"/>
          </w:tcPr>
          <w:p w14:paraId="097C688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Baseline</w:t>
            </w:r>
          </w:p>
        </w:tc>
        <w:tc>
          <w:tcPr>
            <w:tcW w:w="2880" w:type="dxa"/>
          </w:tcPr>
          <w:p w14:paraId="04C322B8"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18.316</w:t>
            </w:r>
          </w:p>
        </w:tc>
      </w:tr>
      <w:tr w:rsidR="00E01275" w:rsidRPr="00751CB8" w14:paraId="77DFFF08" w14:textId="77777777" w:rsidTr="00751CB8">
        <w:trPr>
          <w:trHeight w:val="227"/>
        </w:trPr>
        <w:tc>
          <w:tcPr>
            <w:tcW w:w="2880" w:type="dxa"/>
          </w:tcPr>
          <w:p w14:paraId="1EDE566B"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2030</w:t>
            </w:r>
          </w:p>
        </w:tc>
        <w:tc>
          <w:tcPr>
            <w:tcW w:w="2880" w:type="dxa"/>
          </w:tcPr>
          <w:p w14:paraId="52A618FE"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Baseline</w:t>
            </w:r>
          </w:p>
        </w:tc>
        <w:tc>
          <w:tcPr>
            <w:tcW w:w="2880" w:type="dxa"/>
          </w:tcPr>
          <w:p w14:paraId="4919A51C"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20.661</w:t>
            </w:r>
          </w:p>
        </w:tc>
      </w:tr>
      <w:tr w:rsidR="00E01275" w:rsidRPr="00751CB8" w14:paraId="281B3401" w14:textId="77777777" w:rsidTr="00751CB8">
        <w:trPr>
          <w:trHeight w:val="227"/>
        </w:trPr>
        <w:tc>
          <w:tcPr>
            <w:tcW w:w="2880" w:type="dxa"/>
          </w:tcPr>
          <w:p w14:paraId="6747CA45"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2024</w:t>
            </w:r>
          </w:p>
        </w:tc>
        <w:tc>
          <w:tcPr>
            <w:tcW w:w="2880" w:type="dxa"/>
          </w:tcPr>
          <w:p w14:paraId="4827965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Optimistic</w:t>
            </w:r>
          </w:p>
        </w:tc>
        <w:tc>
          <w:tcPr>
            <w:tcW w:w="2880" w:type="dxa"/>
          </w:tcPr>
          <w:p w14:paraId="31BFDA01"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10.440</w:t>
            </w:r>
          </w:p>
        </w:tc>
      </w:tr>
      <w:tr w:rsidR="00E01275" w:rsidRPr="00751CB8" w14:paraId="2F4F6802" w14:textId="77777777" w:rsidTr="00751CB8">
        <w:trPr>
          <w:trHeight w:val="227"/>
        </w:trPr>
        <w:tc>
          <w:tcPr>
            <w:tcW w:w="2880" w:type="dxa"/>
          </w:tcPr>
          <w:p w14:paraId="36A6C376"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2025</w:t>
            </w:r>
          </w:p>
        </w:tc>
        <w:tc>
          <w:tcPr>
            <w:tcW w:w="2880" w:type="dxa"/>
          </w:tcPr>
          <w:p w14:paraId="36A54914"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Optimistic</w:t>
            </w:r>
          </w:p>
        </w:tc>
        <w:tc>
          <w:tcPr>
            <w:tcW w:w="2880" w:type="dxa"/>
          </w:tcPr>
          <w:p w14:paraId="7DF15B7B"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11.891</w:t>
            </w:r>
          </w:p>
        </w:tc>
      </w:tr>
      <w:tr w:rsidR="00E01275" w:rsidRPr="00751CB8" w14:paraId="2597127B" w14:textId="77777777" w:rsidTr="00751CB8">
        <w:trPr>
          <w:trHeight w:val="227"/>
        </w:trPr>
        <w:tc>
          <w:tcPr>
            <w:tcW w:w="2880" w:type="dxa"/>
          </w:tcPr>
          <w:p w14:paraId="1455E4F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2026</w:t>
            </w:r>
          </w:p>
        </w:tc>
        <w:tc>
          <w:tcPr>
            <w:tcW w:w="2880" w:type="dxa"/>
          </w:tcPr>
          <w:p w14:paraId="3E3E12E7"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Optimistic</w:t>
            </w:r>
          </w:p>
        </w:tc>
        <w:tc>
          <w:tcPr>
            <w:tcW w:w="2880" w:type="dxa"/>
          </w:tcPr>
          <w:p w14:paraId="6E67F7B7"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13.592</w:t>
            </w:r>
          </w:p>
        </w:tc>
      </w:tr>
      <w:tr w:rsidR="00E01275" w:rsidRPr="00751CB8" w14:paraId="03450826" w14:textId="77777777" w:rsidTr="00751CB8">
        <w:trPr>
          <w:trHeight w:val="227"/>
        </w:trPr>
        <w:tc>
          <w:tcPr>
            <w:tcW w:w="2880" w:type="dxa"/>
          </w:tcPr>
          <w:p w14:paraId="2FACBAD9"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2027</w:t>
            </w:r>
          </w:p>
        </w:tc>
        <w:tc>
          <w:tcPr>
            <w:tcW w:w="2880" w:type="dxa"/>
          </w:tcPr>
          <w:p w14:paraId="1088D939"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Optimistic</w:t>
            </w:r>
          </w:p>
        </w:tc>
        <w:tc>
          <w:tcPr>
            <w:tcW w:w="2880" w:type="dxa"/>
          </w:tcPr>
          <w:p w14:paraId="6D0210A2"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15.590</w:t>
            </w:r>
          </w:p>
        </w:tc>
      </w:tr>
      <w:tr w:rsidR="00E01275" w:rsidRPr="00751CB8" w14:paraId="2D2D7505" w14:textId="77777777" w:rsidTr="00751CB8">
        <w:trPr>
          <w:trHeight w:val="227"/>
        </w:trPr>
        <w:tc>
          <w:tcPr>
            <w:tcW w:w="2880" w:type="dxa"/>
          </w:tcPr>
          <w:p w14:paraId="0A563F7F"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2028</w:t>
            </w:r>
          </w:p>
        </w:tc>
        <w:tc>
          <w:tcPr>
            <w:tcW w:w="2880" w:type="dxa"/>
          </w:tcPr>
          <w:p w14:paraId="29CEACA1"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Optimistic</w:t>
            </w:r>
          </w:p>
        </w:tc>
        <w:tc>
          <w:tcPr>
            <w:tcW w:w="2880" w:type="dxa"/>
          </w:tcPr>
          <w:p w14:paraId="78C15D83"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17.944</w:t>
            </w:r>
          </w:p>
        </w:tc>
      </w:tr>
      <w:tr w:rsidR="00E01275" w:rsidRPr="00751CB8" w14:paraId="59A92965" w14:textId="77777777" w:rsidTr="00751CB8">
        <w:trPr>
          <w:trHeight w:val="227"/>
        </w:trPr>
        <w:tc>
          <w:tcPr>
            <w:tcW w:w="2880" w:type="dxa"/>
          </w:tcPr>
          <w:p w14:paraId="43EF1DCD"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2029</w:t>
            </w:r>
          </w:p>
        </w:tc>
        <w:tc>
          <w:tcPr>
            <w:tcW w:w="2880" w:type="dxa"/>
          </w:tcPr>
          <w:p w14:paraId="47572B45"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Optimistic</w:t>
            </w:r>
          </w:p>
        </w:tc>
        <w:tc>
          <w:tcPr>
            <w:tcW w:w="2880" w:type="dxa"/>
          </w:tcPr>
          <w:p w14:paraId="7623E22F"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20.725</w:t>
            </w:r>
          </w:p>
        </w:tc>
      </w:tr>
      <w:tr w:rsidR="00E01275" w:rsidRPr="00751CB8" w14:paraId="48F2345D" w14:textId="77777777" w:rsidTr="00751CB8">
        <w:trPr>
          <w:trHeight w:val="227"/>
        </w:trPr>
        <w:tc>
          <w:tcPr>
            <w:tcW w:w="2880" w:type="dxa"/>
          </w:tcPr>
          <w:p w14:paraId="49A5FF80"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2030</w:t>
            </w:r>
          </w:p>
        </w:tc>
        <w:tc>
          <w:tcPr>
            <w:tcW w:w="2880" w:type="dxa"/>
          </w:tcPr>
          <w:p w14:paraId="0047BC5A"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Optimistic</w:t>
            </w:r>
          </w:p>
        </w:tc>
        <w:tc>
          <w:tcPr>
            <w:tcW w:w="2880" w:type="dxa"/>
          </w:tcPr>
          <w:p w14:paraId="5B117CEB" w14:textId="77777777" w:rsidR="00B806AA" w:rsidRPr="00751CB8" w:rsidRDefault="00000000" w:rsidP="00751CB8">
            <w:pPr>
              <w:spacing w:after="0" w:line="240" w:lineRule="auto"/>
              <w:rPr>
                <w:rFonts w:ascii="Arial" w:hAnsi="Arial" w:cs="Arial"/>
                <w:color w:val="000000" w:themeColor="text1"/>
                <w:sz w:val="16"/>
                <w:szCs w:val="16"/>
              </w:rPr>
            </w:pPr>
            <w:r w:rsidRPr="00751CB8">
              <w:rPr>
                <w:rFonts w:ascii="Arial" w:hAnsi="Arial" w:cs="Arial"/>
                <w:color w:val="000000" w:themeColor="text1"/>
                <w:sz w:val="16"/>
                <w:szCs w:val="16"/>
              </w:rPr>
              <w:t>24.020</w:t>
            </w:r>
          </w:p>
        </w:tc>
      </w:tr>
    </w:tbl>
    <w:p w14:paraId="0ECFB8B8" w14:textId="77777777" w:rsidR="00B806AA" w:rsidRPr="00751CB8" w:rsidRDefault="00000000">
      <w:pPr>
        <w:pStyle w:val="Heading2"/>
        <w:rPr>
          <w:rFonts w:ascii="Arial" w:hAnsi="Arial" w:cs="Arial"/>
          <w:color w:val="000000" w:themeColor="text1"/>
          <w:sz w:val="22"/>
          <w:szCs w:val="22"/>
        </w:rPr>
      </w:pPr>
      <w:r w:rsidRPr="00751CB8">
        <w:rPr>
          <w:rFonts w:ascii="Arial" w:hAnsi="Arial" w:cs="Arial"/>
          <w:color w:val="000000" w:themeColor="text1"/>
          <w:sz w:val="22"/>
          <w:szCs w:val="22"/>
        </w:rPr>
        <w:t>Sources Register</w:t>
      </w:r>
    </w:p>
    <w:p w14:paraId="51EE11A8" w14:textId="77777777" w:rsidR="00B806AA" w:rsidRPr="00751CB8" w:rsidRDefault="00000000">
      <w:pPr>
        <w:rPr>
          <w:rFonts w:ascii="Arial" w:hAnsi="Arial" w:cs="Arial"/>
          <w:color w:val="000000" w:themeColor="text1"/>
        </w:rPr>
      </w:pPr>
      <w:r w:rsidRPr="00751CB8">
        <w:rPr>
          <w:rFonts w:ascii="Arial" w:hAnsi="Arial" w:cs="Arial"/>
          <w:color w:val="000000" w:themeColor="text1"/>
        </w:rPr>
        <w:t>Company anchoring: Intuitive Surgical 2024 revenue (US$8.35 bn). Market base derivation assumes ~80% soft</w:t>
      </w:r>
      <w:r w:rsidRPr="00751CB8">
        <w:rPr>
          <w:rFonts w:ascii="Cambria Math" w:hAnsi="Cambria Math" w:cs="Cambria Math"/>
          <w:color w:val="000000" w:themeColor="text1"/>
        </w:rPr>
        <w:t>‑</w:t>
      </w:r>
      <w:r w:rsidRPr="00751CB8">
        <w:rPr>
          <w:rFonts w:ascii="Arial" w:hAnsi="Arial" w:cs="Arial"/>
          <w:color w:val="000000" w:themeColor="text1"/>
        </w:rPr>
        <w:t>tissue share. Scope definition: NICE Early Value Assessment for soft</w:t>
      </w:r>
      <w:r w:rsidRPr="00751CB8">
        <w:rPr>
          <w:rFonts w:ascii="Cambria Math" w:hAnsi="Cambria Math" w:cs="Cambria Math"/>
          <w:color w:val="000000" w:themeColor="text1"/>
        </w:rPr>
        <w:t>‑</w:t>
      </w:r>
      <w:r w:rsidRPr="00751CB8">
        <w:rPr>
          <w:rFonts w:ascii="Arial" w:hAnsi="Arial" w:cs="Arial"/>
          <w:color w:val="000000" w:themeColor="text1"/>
        </w:rPr>
        <w:t>tissue RAS. Soft</w:t>
      </w:r>
      <w:r w:rsidRPr="00751CB8">
        <w:rPr>
          <w:rFonts w:ascii="Cambria Math" w:hAnsi="Cambria Math" w:cs="Cambria Math"/>
          <w:color w:val="000000" w:themeColor="text1"/>
        </w:rPr>
        <w:t>‑</w:t>
      </w:r>
      <w:r w:rsidRPr="00751CB8">
        <w:rPr>
          <w:rFonts w:ascii="Arial" w:hAnsi="Arial" w:cs="Arial"/>
          <w:color w:val="000000" w:themeColor="text1"/>
        </w:rPr>
        <w:t>tissue market estimates from third</w:t>
      </w:r>
      <w:r w:rsidRPr="00751CB8">
        <w:rPr>
          <w:rFonts w:ascii="Cambria Math" w:hAnsi="Cambria Math" w:cs="Cambria Math"/>
          <w:color w:val="000000" w:themeColor="text1"/>
        </w:rPr>
        <w:t>‑</w:t>
      </w:r>
      <w:r w:rsidRPr="00751CB8">
        <w:rPr>
          <w:rFonts w:ascii="Arial" w:hAnsi="Arial" w:cs="Arial"/>
          <w:color w:val="000000" w:themeColor="text1"/>
        </w:rPr>
        <w:t>party research are used for context only; they are not determinative once company anchoring is applied.</w:t>
      </w:r>
    </w:p>
    <w:p w14:paraId="35283751" w14:textId="77777777" w:rsidR="00B806AA" w:rsidRPr="00751CB8" w:rsidRDefault="00000000">
      <w:pPr>
        <w:pStyle w:val="Heading2"/>
        <w:rPr>
          <w:rFonts w:ascii="Arial" w:hAnsi="Arial" w:cs="Arial"/>
          <w:color w:val="000000" w:themeColor="text1"/>
          <w:sz w:val="22"/>
          <w:szCs w:val="22"/>
        </w:rPr>
      </w:pPr>
      <w:r w:rsidRPr="00751CB8">
        <w:rPr>
          <w:rFonts w:ascii="Arial" w:hAnsi="Arial" w:cs="Arial"/>
          <w:color w:val="000000" w:themeColor="text1"/>
          <w:sz w:val="22"/>
          <w:szCs w:val="22"/>
        </w:rPr>
        <w:t>Methods Note: LLM</w:t>
      </w:r>
      <w:r w:rsidRPr="00751CB8">
        <w:rPr>
          <w:rFonts w:ascii="Cambria Math" w:hAnsi="Cambria Math" w:cs="Cambria Math"/>
          <w:color w:val="000000" w:themeColor="text1"/>
          <w:sz w:val="22"/>
          <w:szCs w:val="22"/>
        </w:rPr>
        <w:t>‑</w:t>
      </w:r>
      <w:r w:rsidRPr="00751CB8">
        <w:rPr>
          <w:rFonts w:ascii="Arial" w:hAnsi="Arial" w:cs="Arial"/>
          <w:color w:val="000000" w:themeColor="text1"/>
          <w:sz w:val="22"/>
          <w:szCs w:val="22"/>
        </w:rPr>
        <w:t>Assisted Generation Process</w:t>
      </w:r>
    </w:p>
    <w:p w14:paraId="62DEFDBC" w14:textId="77777777" w:rsidR="00B806AA" w:rsidRPr="00751CB8" w:rsidRDefault="00000000">
      <w:pPr>
        <w:rPr>
          <w:rFonts w:ascii="Arial" w:hAnsi="Arial" w:cs="Arial"/>
          <w:color w:val="000000" w:themeColor="text1"/>
        </w:rPr>
      </w:pPr>
      <w:r w:rsidRPr="00751CB8">
        <w:rPr>
          <w:rFonts w:ascii="Arial" w:hAnsi="Arial" w:cs="Arial"/>
          <w:color w:val="000000" w:themeColor="text1"/>
        </w:rPr>
        <w:t>This section and the accompanying figure, tables and supplement were produced with assistance from a large language model (LLM), GPT</w:t>
      </w:r>
      <w:r w:rsidRPr="00751CB8">
        <w:rPr>
          <w:rFonts w:ascii="Cambria Math" w:hAnsi="Cambria Math" w:cs="Cambria Math"/>
          <w:color w:val="000000" w:themeColor="text1"/>
        </w:rPr>
        <w:t>‑</w:t>
      </w:r>
      <w:r w:rsidRPr="00751CB8">
        <w:rPr>
          <w:rFonts w:ascii="Arial" w:hAnsi="Arial" w:cs="Arial"/>
          <w:color w:val="000000" w:themeColor="text1"/>
        </w:rPr>
        <w:t>5 Thinking (OpenAI), on 20 October 2025. The LLM was used to draft text, harmonise terminology, and generate reproducible Python code (matplotlib) for the soft</w:t>
      </w:r>
      <w:r w:rsidRPr="00751CB8">
        <w:rPr>
          <w:rFonts w:ascii="Cambria Math" w:hAnsi="Cambria Math" w:cs="Cambria Math"/>
          <w:color w:val="000000" w:themeColor="text1"/>
        </w:rPr>
        <w:t>‑</w:t>
      </w:r>
      <w:r w:rsidRPr="00751CB8">
        <w:rPr>
          <w:rFonts w:ascii="Arial" w:hAnsi="Arial" w:cs="Arial"/>
          <w:color w:val="000000" w:themeColor="text1"/>
        </w:rPr>
        <w:t>tissue</w:t>
      </w:r>
      <w:r w:rsidRPr="00751CB8">
        <w:rPr>
          <w:rFonts w:ascii="Cambria Math" w:hAnsi="Cambria Math" w:cs="Cambria Math"/>
          <w:color w:val="000000" w:themeColor="text1"/>
        </w:rPr>
        <w:t>‑</w:t>
      </w:r>
      <w:r w:rsidRPr="00751CB8">
        <w:rPr>
          <w:rFonts w:ascii="Arial" w:hAnsi="Arial" w:cs="Arial"/>
          <w:color w:val="000000" w:themeColor="text1"/>
        </w:rPr>
        <w:t>only spending curves and data tables. Prompt control followed a fixed structure defining scope (soft</w:t>
      </w:r>
      <w:r w:rsidRPr="00751CB8">
        <w:rPr>
          <w:rFonts w:ascii="Cambria Math" w:hAnsi="Cambria Math" w:cs="Cambria Math"/>
          <w:color w:val="000000" w:themeColor="text1"/>
        </w:rPr>
        <w:t>‑</w:t>
      </w:r>
      <w:r w:rsidRPr="00751CB8">
        <w:rPr>
          <w:rFonts w:ascii="Arial" w:hAnsi="Arial" w:cs="Arial"/>
          <w:color w:val="000000" w:themeColor="text1"/>
        </w:rPr>
        <w:t>tissue surgical robotics only), inclusions and exclusions, base</w:t>
      </w:r>
      <w:r w:rsidRPr="00751CB8">
        <w:rPr>
          <w:rFonts w:ascii="Cambria Math" w:hAnsi="Cambria Math" w:cs="Cambria Math"/>
          <w:color w:val="000000" w:themeColor="text1"/>
        </w:rPr>
        <w:t>‑</w:t>
      </w:r>
      <w:r w:rsidRPr="00751CB8">
        <w:rPr>
          <w:rFonts w:ascii="Arial" w:hAnsi="Arial" w:cs="Arial"/>
          <w:color w:val="000000" w:themeColor="text1"/>
        </w:rPr>
        <w:t>year anchoring, scenario settings with a linearly increasing procedure</w:t>
      </w:r>
      <w:r w:rsidRPr="00751CB8">
        <w:rPr>
          <w:rFonts w:ascii="Cambria Math" w:hAnsi="Cambria Math" w:cs="Cambria Math"/>
          <w:color w:val="000000" w:themeColor="text1"/>
        </w:rPr>
        <w:t>‑</w:t>
      </w:r>
      <w:r w:rsidRPr="00751CB8">
        <w:rPr>
          <w:rFonts w:ascii="Arial" w:hAnsi="Arial" w:cs="Arial"/>
          <w:color w:val="000000" w:themeColor="text1"/>
        </w:rPr>
        <w:t>share uplift, UK spelling, and concise tone. The workflow was iterative: the authors provided the scope, base assumptions and checkpoints; the model returned draft text and code; the humans reviewed, corrected and re</w:t>
      </w:r>
      <w:r w:rsidRPr="00751CB8">
        <w:rPr>
          <w:rFonts w:ascii="Cambria Math" w:hAnsi="Cambria Math" w:cs="Cambria Math"/>
          <w:color w:val="000000" w:themeColor="text1"/>
        </w:rPr>
        <w:t>‑</w:t>
      </w:r>
      <w:r w:rsidRPr="00751CB8">
        <w:rPr>
          <w:rFonts w:ascii="Arial" w:hAnsi="Arial" w:cs="Arial"/>
          <w:color w:val="000000" w:themeColor="text1"/>
        </w:rPr>
        <w:t>prompted until the outputs matched the intended scope. Temperature was kept low (≈0.2) to maximise determinism; no external data were accessed unless supplied by the authors. All numerical series derive solely from the explicit formulae and parameters set out here, not from the model’s training data. Human oversight included verification of the scope (soft</w:t>
      </w:r>
      <w:r w:rsidRPr="00751CB8">
        <w:rPr>
          <w:rFonts w:ascii="Cambria Math" w:hAnsi="Cambria Math" w:cs="Cambria Math"/>
          <w:color w:val="000000" w:themeColor="text1"/>
        </w:rPr>
        <w:t>‑</w:t>
      </w:r>
      <w:r w:rsidRPr="00751CB8">
        <w:rPr>
          <w:rFonts w:ascii="Arial" w:hAnsi="Arial" w:cs="Arial"/>
          <w:color w:val="000000" w:themeColor="text1"/>
        </w:rPr>
        <w:t>tissue only), inspection of the generated code and outputs, and final editing for clarity and consistency.</w:t>
      </w:r>
    </w:p>
    <w:sectPr w:rsidR="00B806AA" w:rsidRPr="00751CB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5222655">
    <w:abstractNumId w:val="8"/>
  </w:num>
  <w:num w:numId="2" w16cid:durableId="566456995">
    <w:abstractNumId w:val="6"/>
  </w:num>
  <w:num w:numId="3" w16cid:durableId="1714227584">
    <w:abstractNumId w:val="5"/>
  </w:num>
  <w:num w:numId="4" w16cid:durableId="1630284960">
    <w:abstractNumId w:val="4"/>
  </w:num>
  <w:num w:numId="5" w16cid:durableId="262958927">
    <w:abstractNumId w:val="7"/>
  </w:num>
  <w:num w:numId="6" w16cid:durableId="833838919">
    <w:abstractNumId w:val="3"/>
  </w:num>
  <w:num w:numId="7" w16cid:durableId="1708656">
    <w:abstractNumId w:val="2"/>
  </w:num>
  <w:num w:numId="8" w16cid:durableId="1312758391">
    <w:abstractNumId w:val="1"/>
  </w:num>
  <w:num w:numId="9" w16cid:durableId="628899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122BD"/>
    <w:rsid w:val="00645C33"/>
    <w:rsid w:val="00751CB8"/>
    <w:rsid w:val="00AA1D8D"/>
    <w:rsid w:val="00B47730"/>
    <w:rsid w:val="00B806AA"/>
    <w:rsid w:val="00CB0664"/>
    <w:rsid w:val="00E012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4C13BB"/>
  <w14:defaultImageDpi w14:val="300"/>
  <w15:docId w15:val="{B297CA11-E27B-264D-9C71-F0202D6C3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895</Words>
  <Characters>5206</Characters>
  <Application>Microsoft Office Word</Application>
  <DocSecurity>0</DocSecurity>
  <Lines>274</Lines>
  <Paragraphs>203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Aneel Bhangu (Applied Health Sciences)</cp:lastModifiedBy>
  <cp:revision>3</cp:revision>
  <dcterms:created xsi:type="dcterms:W3CDTF">2025-10-20T10:01:00Z</dcterms:created>
  <dcterms:modified xsi:type="dcterms:W3CDTF">2025-10-27T21:05:00Z</dcterms:modified>
  <cp:category/>
</cp:coreProperties>
</file>