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012C2" w:rsidRPr="00B152F4" w:rsidRDefault="007A104C">
      <w:pPr>
        <w:rPr>
          <w:rFonts w:ascii="Arial" w:hAnsi="Arial" w:cs="Arial"/>
          <w:b/>
          <w:bCs/>
          <w:sz w:val="22"/>
          <w:szCs w:val="22"/>
          <w:lang w:val="en-GB"/>
        </w:rPr>
      </w:pPr>
      <w:r w:rsidRPr="00B152F4">
        <w:rPr>
          <w:rFonts w:ascii="Arial" w:hAnsi="Arial" w:cs="Arial"/>
          <w:b/>
          <w:bCs/>
          <w:sz w:val="22"/>
          <w:szCs w:val="22"/>
          <w:lang w:val="en-GB"/>
        </w:rPr>
        <w:t>Supplement</w:t>
      </w:r>
    </w:p>
    <w:p w:rsidR="007A104C" w:rsidRPr="00B152F4" w:rsidRDefault="007A104C" w:rsidP="007A104C">
      <w:pPr>
        <w:spacing w:after="0"/>
        <w:rPr>
          <w:rFonts w:ascii="Arial" w:eastAsia="Times New Roman" w:hAnsi="Arial" w:cs="Arial"/>
          <w:b/>
          <w:bCs/>
          <w:color w:val="000000" w:themeColor="text1"/>
          <w:sz w:val="22"/>
          <w:szCs w:val="22"/>
        </w:rPr>
      </w:pPr>
      <w:r w:rsidRPr="00B152F4">
        <w:rPr>
          <w:rFonts w:ascii="Arial" w:eastAsia="Times New Roman" w:hAnsi="Arial" w:cs="Arial"/>
          <w:b/>
          <w:bCs/>
          <w:color w:val="000000" w:themeColor="text1"/>
          <w:sz w:val="22"/>
          <w:szCs w:val="22"/>
        </w:rPr>
        <w:t>Supplemental table 1: Pubmed search, term “robotic surgery”, performed April 25</w:t>
      </w:r>
      <w:r w:rsidRPr="00B152F4">
        <w:rPr>
          <w:rFonts w:ascii="Arial" w:eastAsia="Times New Roman" w:hAnsi="Arial" w:cs="Arial"/>
          <w:b/>
          <w:bCs/>
          <w:color w:val="000000" w:themeColor="text1"/>
          <w:sz w:val="22"/>
          <w:szCs w:val="22"/>
          <w:vertAlign w:val="superscript"/>
        </w:rPr>
        <w:t>th</w:t>
      </w:r>
      <w:r w:rsidRPr="00B152F4">
        <w:rPr>
          <w:rFonts w:ascii="Arial" w:eastAsia="Times New Roman" w:hAnsi="Arial" w:cs="Arial"/>
          <w:b/>
          <w:bCs/>
          <w:color w:val="000000" w:themeColor="text1"/>
          <w:sz w:val="22"/>
          <w:szCs w:val="22"/>
        </w:rPr>
        <w:t xml:space="preserve"> 2025.  </w:t>
      </w:r>
    </w:p>
    <w:p w:rsidR="007A104C" w:rsidRPr="00B152F4" w:rsidRDefault="007A104C" w:rsidP="007A104C">
      <w:pPr>
        <w:spacing w:after="0"/>
        <w:rPr>
          <w:rFonts w:ascii="Arial" w:hAnsi="Arial" w:cs="Arial"/>
          <w:sz w:val="22"/>
          <w:szCs w:val="22"/>
        </w:rPr>
      </w:pPr>
      <w:r w:rsidRPr="00B152F4">
        <w:rPr>
          <w:rFonts w:ascii="Arial" w:eastAsia="Times New Roman" w:hAnsi="Arial" w:cs="Arial"/>
          <w:color w:val="000000" w:themeColor="text1"/>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52"/>
        <w:gridCol w:w="1361"/>
        <w:gridCol w:w="1351"/>
        <w:gridCol w:w="1613"/>
        <w:gridCol w:w="1365"/>
      </w:tblGrid>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Year</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All studies</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RCT</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Clinical study</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SR/MA</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2000</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84</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7</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2001</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88</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2002</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120</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2003</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180</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2004</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239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14</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2005</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259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2006</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363</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2007</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457</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23</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2008</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609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9</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23</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2009</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714</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10</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38</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7</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2010</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849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11</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2011</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1170</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17</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36</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2012</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1294</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14</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39</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2013</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1540</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24</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60</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54</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2014</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1909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34</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66</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79</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2015</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2307</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46</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82</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84</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2016</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2544</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61</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94</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114</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2017</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2699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68</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101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123</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2018</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2995</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66</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111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136</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2019</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3439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86</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207</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2020</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4279</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113</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140</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223</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2021</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4763</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106</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137</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307</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2022</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5010</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120</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140</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295</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2023</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5248</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107</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131</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373</w:t>
            </w:r>
          </w:p>
        </w:tc>
      </w:tr>
      <w:tr w:rsidR="007A104C" w:rsidRPr="00B152F4" w:rsidTr="00B152F4">
        <w:trPr>
          <w:trHeight w:val="270"/>
        </w:trPr>
        <w:tc>
          <w:tcPr>
            <w:tcW w:w="1352"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2024</w:t>
            </w:r>
          </w:p>
        </w:tc>
        <w:tc>
          <w:tcPr>
            <w:tcW w:w="136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6064</w:t>
            </w:r>
          </w:p>
        </w:tc>
        <w:tc>
          <w:tcPr>
            <w:tcW w:w="1351"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128</w:t>
            </w:r>
          </w:p>
        </w:tc>
        <w:tc>
          <w:tcPr>
            <w:tcW w:w="1613"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158</w:t>
            </w:r>
          </w:p>
        </w:tc>
        <w:tc>
          <w:tcPr>
            <w:tcW w:w="1365" w:type="dxa"/>
            <w:tcMar>
              <w:top w:w="12" w:type="dxa"/>
              <w:left w:w="12" w:type="dxa"/>
              <w:right w:w="12" w:type="dxa"/>
            </w:tcMar>
            <w:vAlign w:val="bottom"/>
          </w:tcPr>
          <w:p w:rsidR="007A104C" w:rsidRPr="00B152F4" w:rsidRDefault="007A104C" w:rsidP="00DA65E8">
            <w:pPr>
              <w:spacing w:after="0" w:line="240" w:lineRule="auto"/>
              <w:rPr>
                <w:rFonts w:ascii="Arial" w:hAnsi="Arial" w:cs="Arial"/>
                <w:sz w:val="18"/>
                <w:szCs w:val="18"/>
              </w:rPr>
            </w:pPr>
            <w:r w:rsidRPr="00B152F4">
              <w:rPr>
                <w:rFonts w:ascii="Arial" w:eastAsia="Times New Roman" w:hAnsi="Arial" w:cs="Arial"/>
                <w:color w:val="000000" w:themeColor="text1"/>
                <w:sz w:val="18"/>
                <w:szCs w:val="18"/>
              </w:rPr>
              <w:t>487</w:t>
            </w:r>
          </w:p>
        </w:tc>
      </w:tr>
    </w:tbl>
    <w:p w:rsidR="007A104C" w:rsidRPr="00B152F4" w:rsidRDefault="007A104C">
      <w:pPr>
        <w:rPr>
          <w:rFonts w:ascii="Arial" w:hAnsi="Arial" w:cs="Arial"/>
          <w:sz w:val="22"/>
          <w:szCs w:val="22"/>
          <w:lang w:val="en-GB"/>
        </w:rPr>
      </w:pPr>
      <w:r w:rsidRPr="00B152F4">
        <w:rPr>
          <w:rFonts w:ascii="Arial" w:eastAsia="Times New Roman" w:hAnsi="Arial" w:cs="Arial"/>
          <w:color w:val="000000" w:themeColor="text1"/>
          <w:sz w:val="22"/>
          <w:szCs w:val="22"/>
        </w:rPr>
        <w:t xml:space="preserve"> </w:t>
      </w:r>
      <w:r w:rsidRPr="00B152F4">
        <w:rPr>
          <w:rFonts w:ascii="Arial" w:hAnsi="Arial" w:cs="Arial"/>
          <w:sz w:val="22"/>
          <w:szCs w:val="22"/>
        </w:rPr>
        <w:br/>
      </w:r>
      <w:r w:rsidRPr="00B152F4">
        <w:rPr>
          <w:rFonts w:ascii="Arial" w:hAnsi="Arial" w:cs="Arial"/>
          <w:sz w:val="22"/>
          <w:szCs w:val="22"/>
          <w:lang w:val="en-GB"/>
        </w:rPr>
        <w:br w:type="page"/>
      </w:r>
    </w:p>
    <w:p w:rsidR="007A104C" w:rsidRPr="00B152F4" w:rsidRDefault="007A104C" w:rsidP="007A104C">
      <w:pPr>
        <w:spacing w:after="0"/>
        <w:rPr>
          <w:rFonts w:ascii="Arial" w:eastAsia="Times New Roman" w:hAnsi="Arial" w:cs="Arial"/>
          <w:b/>
          <w:bCs/>
          <w:color w:val="000000" w:themeColor="text1"/>
          <w:sz w:val="22"/>
          <w:szCs w:val="22"/>
        </w:rPr>
      </w:pPr>
      <w:r w:rsidRPr="00B152F4">
        <w:rPr>
          <w:rFonts w:ascii="Arial" w:eastAsia="Times New Roman" w:hAnsi="Arial" w:cs="Arial"/>
          <w:b/>
          <w:bCs/>
          <w:color w:val="000000" w:themeColor="text1"/>
          <w:sz w:val="22"/>
          <w:szCs w:val="22"/>
        </w:rPr>
        <w:lastRenderedPageBreak/>
        <w:t>Supplemental table 2: global spending scenarios</w:t>
      </w:r>
    </w:p>
    <w:p w:rsidR="007A104C" w:rsidRPr="00B152F4" w:rsidRDefault="007A104C" w:rsidP="007A104C">
      <w:pPr>
        <w:spacing w:after="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95"/>
        <w:gridCol w:w="1118"/>
        <w:gridCol w:w="1130"/>
        <w:gridCol w:w="1118"/>
        <w:gridCol w:w="5096"/>
      </w:tblGrid>
      <w:tr w:rsidR="007A104C" w:rsidRPr="00B152F4" w:rsidTr="00B152F4">
        <w:trPr>
          <w:trHeight w:val="135"/>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Year</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Estimated Spending ($B)</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Conservative Scenario ($B)</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Optimistic Scenario ($B)</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Notes and Sources</w:t>
            </w:r>
          </w:p>
        </w:tc>
      </w:tr>
      <w:tr w:rsidR="007A104C" w:rsidRPr="00B152F4" w:rsidTr="00B152F4">
        <w:trPr>
          <w:trHeight w:val="45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2020</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50.0</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IDC</w:t>
            </w:r>
            <w:r w:rsidRPr="00B152F4">
              <w:rPr>
                <w:rFonts w:ascii="Arial" w:eastAsia="Calibri" w:hAnsi="Arial" w:cs="Arial"/>
                <w:color w:val="000000" w:themeColor="text1"/>
                <w:sz w:val="18"/>
                <w:szCs w:val="18"/>
              </w:rPr>
              <w:t xml:space="preserve"> baseline for pre-COVID robotics market. Industry slowed but resilient in industrial and healthcare sectors.</w:t>
            </w:r>
          </w:p>
        </w:tc>
      </w:tr>
      <w:tr w:rsidR="007A104C" w:rsidRPr="00B152F4" w:rsidTr="00B152F4">
        <w:trPr>
          <w:trHeight w:val="69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2021</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58.0</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 xml:space="preserve">Strong rebound post-COVID. Automation investment increased across healthcare and e-commerce. Source: </w:t>
            </w:r>
            <w:r w:rsidRPr="00B152F4">
              <w:rPr>
                <w:rFonts w:ascii="Arial" w:eastAsia="Calibri" w:hAnsi="Arial" w:cs="Arial"/>
                <w:i/>
                <w:iCs/>
                <w:color w:val="000000" w:themeColor="text1"/>
                <w:sz w:val="18"/>
                <w:szCs w:val="18"/>
              </w:rPr>
              <w:t>IDC Worldwide Robotics Spending Guide</w:t>
            </w:r>
            <w:r w:rsidRPr="00B152F4">
              <w:rPr>
                <w:rFonts w:ascii="Arial" w:eastAsia="Calibri" w:hAnsi="Arial" w:cs="Arial"/>
                <w:color w:val="000000" w:themeColor="text1"/>
                <w:sz w:val="18"/>
                <w:szCs w:val="18"/>
              </w:rPr>
              <w:t>.</w:t>
            </w:r>
          </w:p>
        </w:tc>
      </w:tr>
      <w:tr w:rsidR="007A104C" w:rsidRPr="00B152F4" w:rsidTr="00B152F4">
        <w:trPr>
          <w:trHeight w:val="69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2022</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67.0</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 xml:space="preserve">Recovery continued, driven by manufacturing restarts and increased robotic process automation. Source: </w:t>
            </w:r>
            <w:r w:rsidRPr="00B152F4">
              <w:rPr>
                <w:rFonts w:ascii="Arial" w:eastAsia="Calibri" w:hAnsi="Arial" w:cs="Arial"/>
                <w:i/>
                <w:iCs/>
                <w:color w:val="000000" w:themeColor="text1"/>
                <w:sz w:val="18"/>
                <w:szCs w:val="18"/>
              </w:rPr>
              <w:t>Statista &amp; Grand View Research estimates</w:t>
            </w:r>
            <w:r w:rsidRPr="00B152F4">
              <w:rPr>
                <w:rFonts w:ascii="Arial" w:eastAsia="Calibri" w:hAnsi="Arial" w:cs="Arial"/>
                <w:color w:val="000000" w:themeColor="text1"/>
                <w:sz w:val="18"/>
                <w:szCs w:val="18"/>
              </w:rPr>
              <w:t>.</w:t>
            </w:r>
          </w:p>
        </w:tc>
      </w:tr>
      <w:tr w:rsidR="007A104C" w:rsidRPr="00B152F4" w:rsidTr="00B152F4">
        <w:trPr>
          <w:trHeight w:val="57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2023</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77.0</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Expansion into logistics (e.g. Amazon), cloud robotics, and warehouse automation. Collaborative robots (cobots) surged.</w:t>
            </w:r>
          </w:p>
        </w:tc>
      </w:tr>
      <w:tr w:rsidR="007A104C" w:rsidRPr="00B152F4" w:rsidTr="00B152F4">
        <w:trPr>
          <w:trHeight w:val="57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2024</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87.1</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 xml:space="preserve">Verified by </w:t>
            </w:r>
            <w:r w:rsidRPr="00B152F4">
              <w:rPr>
                <w:rFonts w:ascii="Arial" w:eastAsia="Calibri" w:hAnsi="Arial" w:cs="Arial"/>
                <w:i/>
                <w:iCs/>
                <w:color w:val="000000" w:themeColor="text1"/>
                <w:sz w:val="18"/>
                <w:szCs w:val="18"/>
              </w:rPr>
              <w:t>GlobeNewswire (2025)</w:t>
            </w:r>
            <w:r w:rsidRPr="00B152F4">
              <w:rPr>
                <w:rFonts w:ascii="Arial" w:eastAsia="Calibri" w:hAnsi="Arial" w:cs="Arial"/>
                <w:color w:val="000000" w:themeColor="text1"/>
                <w:sz w:val="18"/>
                <w:szCs w:val="18"/>
              </w:rPr>
              <w:t>: Industrial robotics segment valuation. Includes articulated arms, SCARA, and automated guided vehicles.</w:t>
            </w:r>
          </w:p>
        </w:tc>
      </w:tr>
      <w:tr w:rsidR="007A104C" w:rsidRPr="00B152F4" w:rsidTr="00B152F4">
        <w:trPr>
          <w:trHeight w:val="63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2025</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100.6</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97.0</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104.0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Mordor Intelligence projection</w:t>
            </w:r>
            <w:r w:rsidRPr="00B152F4">
              <w:rPr>
                <w:rFonts w:ascii="Arial" w:eastAsia="Calibri" w:hAnsi="Arial" w:cs="Arial"/>
                <w:color w:val="000000" w:themeColor="text1"/>
                <w:sz w:val="18"/>
                <w:szCs w:val="18"/>
              </w:rPr>
              <w:t>. Incorporates new medical robotics, cloud systems, and first major deployment of AI-driven autonomous robots.</w:t>
            </w:r>
          </w:p>
        </w:tc>
      </w:tr>
      <w:tr w:rsidR="007A104C" w:rsidRPr="00B152F4" w:rsidTr="00B152F4">
        <w:trPr>
          <w:trHeight w:val="63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2026</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112.8</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107.0</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121.0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 xml:space="preserve">CAGR range based on sector variability. </w:t>
            </w:r>
            <w:r w:rsidRPr="00B152F4">
              <w:rPr>
                <w:rFonts w:ascii="Arial" w:eastAsia="Calibri" w:hAnsi="Arial" w:cs="Arial"/>
                <w:b/>
                <w:bCs/>
                <w:color w:val="000000" w:themeColor="text1"/>
                <w:sz w:val="18"/>
                <w:szCs w:val="18"/>
              </w:rPr>
              <w:t>Conservative: 9.5%</w:t>
            </w:r>
            <w:r w:rsidRPr="00B152F4">
              <w:rPr>
                <w:rFonts w:ascii="Arial" w:eastAsia="Calibri" w:hAnsi="Arial" w:cs="Arial"/>
                <w:color w:val="000000" w:themeColor="text1"/>
                <w:sz w:val="18"/>
                <w:szCs w:val="18"/>
              </w:rPr>
              <w:t xml:space="preserve">, </w:t>
            </w:r>
            <w:r w:rsidRPr="00B152F4">
              <w:rPr>
                <w:rFonts w:ascii="Arial" w:eastAsia="Calibri" w:hAnsi="Arial" w:cs="Arial"/>
                <w:b/>
                <w:bCs/>
                <w:color w:val="000000" w:themeColor="text1"/>
                <w:sz w:val="18"/>
                <w:szCs w:val="18"/>
              </w:rPr>
              <w:t>Optimistic: 14%</w:t>
            </w:r>
            <w:r w:rsidRPr="00B152F4">
              <w:rPr>
                <w:rFonts w:ascii="Arial" w:eastAsia="Calibri" w:hAnsi="Arial" w:cs="Arial"/>
                <w:color w:val="000000" w:themeColor="text1"/>
                <w:sz w:val="18"/>
                <w:szCs w:val="18"/>
              </w:rPr>
              <w:t>. Includes continued da Vinci surgical system expansion (e.g. Intuitive Surgical).</w:t>
            </w:r>
          </w:p>
        </w:tc>
      </w:tr>
      <w:tr w:rsidR="007A104C" w:rsidRPr="00B152F4" w:rsidTr="00B152F4">
        <w:trPr>
          <w:trHeight w:val="69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2027</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126.3</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117.7</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140.0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 xml:space="preserve">Anticipated acceleration in retail automation and robotic security platforms. Cloud robotics expansion begins to peak. Source: </w:t>
            </w:r>
            <w:r w:rsidRPr="00B152F4">
              <w:rPr>
                <w:rFonts w:ascii="Arial" w:eastAsia="Calibri" w:hAnsi="Arial" w:cs="Arial"/>
                <w:i/>
                <w:iCs/>
                <w:color w:val="000000" w:themeColor="text1"/>
                <w:sz w:val="18"/>
                <w:szCs w:val="18"/>
              </w:rPr>
              <w:t>Grand View Research (Cobots, 2024)</w:t>
            </w:r>
            <w:r w:rsidRPr="00B152F4">
              <w:rPr>
                <w:rFonts w:ascii="Arial" w:eastAsia="Calibri" w:hAnsi="Arial" w:cs="Arial"/>
                <w:color w:val="000000" w:themeColor="text1"/>
                <w:sz w:val="18"/>
                <w:szCs w:val="18"/>
              </w:rPr>
              <w:t>.</w:t>
            </w:r>
          </w:p>
        </w:tc>
      </w:tr>
      <w:tr w:rsidR="007A104C" w:rsidRPr="00B152F4" w:rsidTr="00B152F4">
        <w:trPr>
          <w:trHeight w:val="57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2028</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141.4</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129.3</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162.0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Home care robotics, elderly support, and cleaning drones grow rapidly. Supply chain gains from automated micro-fulfilment centres.</w:t>
            </w:r>
          </w:p>
        </w:tc>
      </w:tr>
      <w:tr w:rsidR="007A104C" w:rsidRPr="00B152F4" w:rsidTr="00B152F4">
        <w:trPr>
          <w:trHeight w:val="63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2029</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158.0</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141.9</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187.0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Robotics-as-a-service (RaaS) business models scale. AI-robot integration matures with language understanding and autonomous decision-making.</w:t>
            </w:r>
          </w:p>
        </w:tc>
      </w:tr>
      <w:tr w:rsidR="007A104C" w:rsidRPr="00B152F4" w:rsidTr="00B152F4">
        <w:trPr>
          <w:trHeight w:val="630"/>
        </w:trPr>
        <w:tc>
          <w:tcPr>
            <w:tcW w:w="695"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2030</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178.6</w:t>
            </w:r>
          </w:p>
        </w:tc>
        <w:tc>
          <w:tcPr>
            <w:tcW w:w="1130"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155.6</w:t>
            </w:r>
          </w:p>
        </w:tc>
        <w:tc>
          <w:tcPr>
            <w:tcW w:w="1118"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color w:val="000000" w:themeColor="text1"/>
                <w:sz w:val="18"/>
                <w:szCs w:val="18"/>
              </w:rPr>
              <w:t>215.0</w:t>
            </w:r>
          </w:p>
        </w:tc>
        <w:tc>
          <w:tcPr>
            <w:tcW w:w="5096" w:type="dxa"/>
            <w:tcMar>
              <w:top w:w="10" w:type="dxa"/>
              <w:left w:w="20" w:type="dxa"/>
              <w:bottom w:w="10" w:type="dxa"/>
              <w:right w:w="20" w:type="dxa"/>
            </w:tcMar>
            <w:vAlign w:val="center"/>
          </w:tcPr>
          <w:p w:rsidR="007A104C" w:rsidRPr="00B152F4" w:rsidRDefault="007A104C" w:rsidP="00DA65E8">
            <w:pPr>
              <w:spacing w:after="0"/>
              <w:rPr>
                <w:rFonts w:ascii="Arial" w:hAnsi="Arial" w:cs="Arial"/>
                <w:sz w:val="18"/>
                <w:szCs w:val="18"/>
              </w:rPr>
            </w:pPr>
            <w:r w:rsidRPr="00B152F4">
              <w:rPr>
                <w:rFonts w:ascii="Arial" w:eastAsia="Calibri" w:hAnsi="Arial" w:cs="Arial"/>
                <w:b/>
                <w:bCs/>
                <w:color w:val="000000" w:themeColor="text1"/>
                <w:sz w:val="18"/>
                <w:szCs w:val="18"/>
              </w:rPr>
              <w:t>Mordor Intelligence and GlobeNewswire forecasts</w:t>
            </w:r>
            <w:r w:rsidRPr="00B152F4">
              <w:rPr>
                <w:rFonts w:ascii="Arial" w:eastAsia="Calibri" w:hAnsi="Arial" w:cs="Arial"/>
                <w:color w:val="000000" w:themeColor="text1"/>
                <w:sz w:val="18"/>
                <w:szCs w:val="18"/>
              </w:rPr>
              <w:t>. Includes full-scale integration of cloud robotics in manufacturing, logistics, and healthcare.</w:t>
            </w:r>
          </w:p>
        </w:tc>
      </w:tr>
    </w:tbl>
    <w:p w:rsidR="007A104C" w:rsidRPr="00B152F4" w:rsidRDefault="007A104C" w:rsidP="007A104C">
      <w:pPr>
        <w:spacing w:after="0"/>
        <w:rPr>
          <w:rFonts w:ascii="Arial" w:hAnsi="Arial" w:cs="Arial"/>
          <w:sz w:val="22"/>
          <w:szCs w:val="22"/>
        </w:rPr>
      </w:pPr>
      <w:r w:rsidRPr="00B152F4">
        <w:rPr>
          <w:rFonts w:ascii="Arial" w:eastAsia="Times New Roman" w:hAnsi="Arial" w:cs="Arial"/>
          <w:color w:val="000000" w:themeColor="text1"/>
          <w:sz w:val="22"/>
          <w:szCs w:val="22"/>
        </w:rPr>
        <w:t xml:space="preserve"> </w:t>
      </w:r>
    </w:p>
    <w:p w:rsidR="007A104C" w:rsidRPr="00B152F4" w:rsidRDefault="007A104C" w:rsidP="007A104C">
      <w:pPr>
        <w:spacing w:after="0"/>
        <w:rPr>
          <w:rFonts w:ascii="Arial" w:eastAsia="Times New Roman" w:hAnsi="Arial" w:cs="Arial"/>
          <w:color w:val="000000" w:themeColor="text1"/>
          <w:sz w:val="22"/>
          <w:szCs w:val="22"/>
        </w:rPr>
      </w:pPr>
      <w:r w:rsidRPr="00B152F4">
        <w:rPr>
          <w:rFonts w:ascii="Arial" w:eastAsia="Times New Roman" w:hAnsi="Arial" w:cs="Arial"/>
          <w:color w:val="000000" w:themeColor="text1"/>
          <w:sz w:val="22"/>
          <w:szCs w:val="22"/>
        </w:rPr>
        <w:t>Growth drivers: logistics automation, AI</w:t>
      </w:r>
      <w:r w:rsidRPr="00B152F4">
        <w:rPr>
          <w:rFonts w:ascii="Cambria Math" w:eastAsia="Times New Roman" w:hAnsi="Cambria Math" w:cs="Cambria Math"/>
          <w:color w:val="000000" w:themeColor="text1"/>
          <w:sz w:val="22"/>
          <w:szCs w:val="22"/>
        </w:rPr>
        <w:t>‑</w:t>
      </w:r>
      <w:r w:rsidRPr="00B152F4">
        <w:rPr>
          <w:rFonts w:ascii="Arial" w:eastAsia="Times New Roman" w:hAnsi="Arial" w:cs="Arial"/>
          <w:color w:val="000000" w:themeColor="text1"/>
          <w:sz w:val="22"/>
          <w:szCs w:val="22"/>
        </w:rPr>
        <w:t>enabled robots, ageing</w:t>
      </w:r>
      <w:r w:rsidRPr="00B152F4">
        <w:rPr>
          <w:rFonts w:ascii="Cambria Math" w:eastAsia="Times New Roman" w:hAnsi="Cambria Math" w:cs="Cambria Math"/>
          <w:color w:val="000000" w:themeColor="text1"/>
          <w:sz w:val="22"/>
          <w:szCs w:val="22"/>
        </w:rPr>
        <w:t>‑</w:t>
      </w:r>
      <w:r w:rsidRPr="00B152F4">
        <w:rPr>
          <w:rFonts w:ascii="Arial" w:eastAsia="Times New Roman" w:hAnsi="Arial" w:cs="Arial"/>
          <w:color w:val="000000" w:themeColor="text1"/>
          <w:sz w:val="22"/>
          <w:szCs w:val="22"/>
        </w:rPr>
        <w:t>workforce care, cloud</w:t>
      </w:r>
      <w:r w:rsidRPr="00B152F4">
        <w:rPr>
          <w:rFonts w:ascii="Cambria Math" w:eastAsia="Times New Roman" w:hAnsi="Cambria Math" w:cs="Cambria Math"/>
          <w:color w:val="000000" w:themeColor="text1"/>
          <w:sz w:val="22"/>
          <w:szCs w:val="22"/>
        </w:rPr>
        <w:t>‑</w:t>
      </w:r>
      <w:r w:rsidRPr="00B152F4">
        <w:rPr>
          <w:rFonts w:ascii="Arial" w:eastAsia="Times New Roman" w:hAnsi="Arial" w:cs="Arial"/>
          <w:color w:val="000000" w:themeColor="text1"/>
          <w:sz w:val="22"/>
          <w:szCs w:val="22"/>
        </w:rPr>
        <w:t>robotics.</w:t>
      </w:r>
      <w:r w:rsidRPr="00B152F4">
        <w:rPr>
          <w:rFonts w:ascii="Arial" w:hAnsi="Arial" w:cs="Arial"/>
          <w:sz w:val="22"/>
          <w:szCs w:val="22"/>
        </w:rPr>
        <w:t xml:space="preserve"> </w:t>
      </w:r>
      <w:r w:rsidRPr="00B152F4">
        <w:rPr>
          <w:rFonts w:ascii="Arial" w:eastAsia="Times New Roman" w:hAnsi="Arial" w:cs="Arial"/>
          <w:color w:val="000000" w:themeColor="text1"/>
          <w:sz w:val="22"/>
          <w:szCs w:val="22"/>
        </w:rPr>
        <w:t>Risks: supply</w:t>
      </w:r>
      <w:r w:rsidRPr="00B152F4">
        <w:rPr>
          <w:rFonts w:ascii="Cambria Math" w:eastAsia="Times New Roman" w:hAnsi="Cambria Math" w:cs="Cambria Math"/>
          <w:color w:val="000000" w:themeColor="text1"/>
          <w:sz w:val="22"/>
          <w:szCs w:val="22"/>
        </w:rPr>
        <w:t>‑</w:t>
      </w:r>
      <w:r w:rsidRPr="00B152F4">
        <w:rPr>
          <w:rFonts w:ascii="Arial" w:eastAsia="Times New Roman" w:hAnsi="Arial" w:cs="Arial"/>
          <w:color w:val="000000" w:themeColor="text1"/>
          <w:sz w:val="22"/>
          <w:szCs w:val="22"/>
        </w:rPr>
        <w:t>chain fragility and capex pauses; conservative path captures a prolonged funding squeeze.</w:t>
      </w:r>
    </w:p>
    <w:p w:rsidR="007A104C" w:rsidRPr="00B152F4" w:rsidRDefault="007A104C" w:rsidP="007A104C">
      <w:pPr>
        <w:spacing w:after="0"/>
        <w:rPr>
          <w:rFonts w:ascii="Arial" w:eastAsia="Times New Roman" w:hAnsi="Arial" w:cs="Arial"/>
          <w:color w:val="000000" w:themeColor="text1"/>
          <w:sz w:val="22"/>
          <w:szCs w:val="22"/>
        </w:rPr>
      </w:pPr>
    </w:p>
    <w:p w:rsidR="007A104C" w:rsidRPr="00B152F4" w:rsidRDefault="007A104C" w:rsidP="007A104C">
      <w:pPr>
        <w:spacing w:after="0"/>
        <w:rPr>
          <w:rFonts w:ascii="Arial" w:eastAsia="Times New Roman" w:hAnsi="Arial" w:cs="Arial"/>
          <w:color w:val="000000" w:themeColor="text1"/>
          <w:sz w:val="22"/>
          <w:szCs w:val="22"/>
        </w:rPr>
      </w:pPr>
    </w:p>
    <w:p w:rsidR="007A104C" w:rsidRPr="00B152F4" w:rsidRDefault="007A104C" w:rsidP="007A104C">
      <w:pPr>
        <w:spacing w:after="0"/>
        <w:rPr>
          <w:rFonts w:ascii="Arial" w:eastAsia="Times New Roman" w:hAnsi="Arial" w:cs="Arial"/>
          <w:color w:val="000000" w:themeColor="text1"/>
          <w:sz w:val="22"/>
          <w:szCs w:val="22"/>
        </w:rPr>
      </w:pPr>
      <w:r w:rsidRPr="00B152F4">
        <w:rPr>
          <w:rFonts w:ascii="Arial" w:eastAsia="Times New Roman" w:hAnsi="Arial" w:cs="Arial"/>
          <w:color w:val="000000" w:themeColor="text1"/>
          <w:sz w:val="22"/>
          <w:szCs w:val="22"/>
        </w:rPr>
        <w:br w:type="page"/>
      </w:r>
    </w:p>
    <w:p w:rsidR="007A104C" w:rsidRPr="00B152F4" w:rsidRDefault="00B152F4"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lastRenderedPageBreak/>
        <w:t>Methods supplement for figure 2 (summary)</w:t>
      </w:r>
    </w:p>
    <w:p w:rsidR="007A104C" w:rsidRPr="00B152F4" w:rsidRDefault="007A104C" w:rsidP="007A104C">
      <w:pPr>
        <w:spacing w:before="240" w:after="240"/>
        <w:rPr>
          <w:rFonts w:ascii="Arial" w:hAnsi="Arial" w:cs="Arial"/>
          <w:sz w:val="22"/>
          <w:szCs w:val="22"/>
        </w:rPr>
      </w:pPr>
      <w:r w:rsidRPr="00B152F4">
        <w:rPr>
          <w:rFonts w:ascii="Arial" w:eastAsia="Aptos" w:hAnsi="Arial" w:cs="Arial"/>
          <w:b/>
          <w:bCs/>
          <w:color w:val="000000" w:themeColor="text1"/>
          <w:sz w:val="22"/>
          <w:szCs w:val="22"/>
        </w:rPr>
        <w:t>Data sources</w:t>
      </w:r>
      <w:r w:rsidRPr="00B152F4">
        <w:rPr>
          <w:rFonts w:ascii="Arial" w:eastAsia="Aptos" w:hAnsi="Arial" w:cs="Arial"/>
          <w:color w:val="000000" w:themeColor="text1"/>
          <w:sz w:val="22"/>
          <w:szCs w:val="22"/>
        </w:rPr>
        <w:t>: Global procedural volumes are based on published da Vinci utilisation figures from Intuitive Surgical (SEC filings, 2012–2023), market research estimates from Oliver Wyman, Global Growth Insights, and World Metrics. Projections from 2024–2030 assume compound annual growth rates (CAGR) between 11–15%, consistent with industry modelling. Regional series (United States, EU-27, Asia–Pacific) are constructed as proportional proxies based on installed-base and revenue share estimates: US ~60%, EU ~28%, APAC ~12% as of 2024.</w:t>
      </w:r>
    </w:p>
    <w:p w:rsidR="007A104C" w:rsidRPr="00B152F4" w:rsidRDefault="007A104C" w:rsidP="007A104C">
      <w:pPr>
        <w:spacing w:before="240" w:after="240"/>
        <w:rPr>
          <w:rFonts w:ascii="Arial" w:hAnsi="Arial" w:cs="Arial"/>
          <w:sz w:val="22"/>
          <w:szCs w:val="22"/>
        </w:rPr>
      </w:pPr>
      <w:r w:rsidRPr="00B152F4">
        <w:rPr>
          <w:rFonts w:ascii="Arial" w:eastAsia="Aptos" w:hAnsi="Arial" w:cs="Arial"/>
          <w:b/>
          <w:bCs/>
          <w:color w:val="000000" w:themeColor="text1"/>
          <w:sz w:val="22"/>
          <w:szCs w:val="22"/>
        </w:rPr>
        <w:t>Manufacturer split</w:t>
      </w:r>
      <w:r w:rsidRPr="00B152F4">
        <w:rPr>
          <w:rFonts w:ascii="Arial" w:eastAsia="Aptos" w:hAnsi="Arial" w:cs="Arial"/>
          <w:color w:val="000000" w:themeColor="text1"/>
          <w:sz w:val="22"/>
          <w:szCs w:val="22"/>
        </w:rPr>
        <w:t>: The stacked area shows the approximate share of procedures performed on Intuitive platforms (da Vinci, Ion) versus other systems (e.g. Medtronic Hugo, CMR Versius, Stryker Mako, Zimmer ROSA, Globus ExcelsiusGPS, and others). Intuitive accounted for ~95% of procedures in 2012, falling to ~90% by 2024, with projections reaching ~80% by 2030 due to system diversification and procurement expansion.</w:t>
      </w:r>
    </w:p>
    <w:p w:rsidR="007A104C" w:rsidRPr="00B152F4" w:rsidRDefault="007A104C" w:rsidP="007A104C">
      <w:pPr>
        <w:spacing w:before="240" w:after="240"/>
        <w:rPr>
          <w:rFonts w:ascii="Arial" w:hAnsi="Arial" w:cs="Arial"/>
          <w:sz w:val="22"/>
          <w:szCs w:val="22"/>
        </w:rPr>
      </w:pPr>
      <w:r w:rsidRPr="00B152F4">
        <w:rPr>
          <w:rFonts w:ascii="Arial" w:eastAsia="Aptos" w:hAnsi="Arial" w:cs="Arial"/>
          <w:b/>
          <w:bCs/>
          <w:color w:val="000000" w:themeColor="text1"/>
          <w:sz w:val="22"/>
          <w:szCs w:val="22"/>
        </w:rPr>
        <w:t>Limitations</w:t>
      </w:r>
      <w:r w:rsidRPr="00B152F4">
        <w:rPr>
          <w:rFonts w:ascii="Arial" w:eastAsia="Aptos" w:hAnsi="Arial" w:cs="Arial"/>
          <w:color w:val="000000" w:themeColor="text1"/>
          <w:sz w:val="22"/>
          <w:szCs w:val="22"/>
        </w:rPr>
        <w:t>: Historical data prior to 2012 is sparse and not included. Regional lines are illustrative and not direct counts. Figures reflect total procedural volume (all indications), not system installations or financials. No specific adjustment was made for soft- vs hard-tissue segmentation.</w:t>
      </w:r>
    </w:p>
    <w:p w:rsidR="00B152F4" w:rsidRPr="00B152F4" w:rsidRDefault="00B152F4" w:rsidP="00B152F4">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t>Methods supplement for figure 2 (</w:t>
      </w:r>
      <w:r w:rsidRPr="00B152F4">
        <w:rPr>
          <w:rFonts w:ascii="Arial" w:eastAsia="Aptos" w:hAnsi="Arial" w:cs="Arial"/>
          <w:b/>
          <w:bCs/>
          <w:color w:val="000000" w:themeColor="text1"/>
          <w:sz w:val="22"/>
          <w:szCs w:val="22"/>
        </w:rPr>
        <w:t>complete</w:t>
      </w:r>
      <w:r w:rsidRPr="00B152F4">
        <w:rPr>
          <w:rFonts w:ascii="Arial" w:eastAsia="Aptos" w:hAnsi="Arial" w:cs="Arial"/>
          <w:b/>
          <w:bCs/>
          <w:color w:val="000000" w:themeColor="text1"/>
          <w:sz w:val="22"/>
          <w:szCs w:val="22"/>
        </w:rPr>
        <w:t>)</w:t>
      </w: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t>Overview</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This supplement outlines the data sources, assumptions, and modelling approaches used to construct the global robotic surgery volume chart from 2012 to 2030. The aim was to build a grounded and reproducible representation of global procedural volumes, regional uptake, and the evolving share between Intuitive Surgical systems and other manufacturers. All figures are derived from published data, regulatory filings, market analytics, and peer-reviewed summaries.</w:t>
      </w:r>
    </w:p>
    <w:p w:rsidR="007A104C" w:rsidRPr="00B152F4" w:rsidRDefault="007A104C" w:rsidP="007A104C">
      <w:pPr>
        <w:rPr>
          <w:rFonts w:ascii="Arial" w:hAnsi="Arial" w:cs="Arial"/>
          <w:sz w:val="22"/>
          <w:szCs w:val="22"/>
        </w:rPr>
      </w:pP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t>Procedural Volume Data (Global Baseline)</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Annual global robotic surgery volume was modelled using public data from </w:t>
      </w:r>
      <w:r w:rsidRPr="00B152F4">
        <w:rPr>
          <w:rFonts w:ascii="Arial" w:eastAsia="Aptos" w:hAnsi="Arial" w:cs="Arial"/>
          <w:b/>
          <w:bCs/>
          <w:color w:val="000000" w:themeColor="text1"/>
          <w:sz w:val="22"/>
          <w:szCs w:val="22"/>
        </w:rPr>
        <w:t>Intuitive Surgical Inc.</w:t>
      </w:r>
      <w:r w:rsidRPr="00B152F4">
        <w:rPr>
          <w:rFonts w:ascii="Arial" w:eastAsia="Aptos" w:hAnsi="Arial" w:cs="Arial"/>
          <w:color w:val="000000" w:themeColor="text1"/>
          <w:sz w:val="22"/>
          <w:szCs w:val="22"/>
        </w:rPr>
        <w:t xml:space="preserve">, which publishes precise procedural counts quarterly through SEC filings [1]. These reports show that da Vinci systems performed </w:t>
      </w:r>
      <w:r w:rsidRPr="00B152F4">
        <w:rPr>
          <w:rFonts w:ascii="Arial" w:eastAsia="Aptos" w:hAnsi="Arial" w:cs="Arial"/>
          <w:b/>
          <w:bCs/>
          <w:color w:val="000000" w:themeColor="text1"/>
          <w:sz w:val="22"/>
          <w:szCs w:val="22"/>
        </w:rPr>
        <w:t>~2.26 million procedures in 2023</w:t>
      </w:r>
      <w:r w:rsidRPr="00B152F4">
        <w:rPr>
          <w:rFonts w:ascii="Arial" w:eastAsia="Aptos" w:hAnsi="Arial" w:cs="Arial"/>
          <w:color w:val="000000" w:themeColor="text1"/>
          <w:sz w:val="22"/>
          <w:szCs w:val="22"/>
        </w:rPr>
        <w:t xml:space="preserve">, a </w:t>
      </w:r>
      <w:r w:rsidRPr="00B152F4">
        <w:rPr>
          <w:rFonts w:ascii="Arial" w:eastAsia="Aptos" w:hAnsi="Arial" w:cs="Arial"/>
          <w:b/>
          <w:bCs/>
          <w:color w:val="000000" w:themeColor="text1"/>
          <w:sz w:val="22"/>
          <w:szCs w:val="22"/>
        </w:rPr>
        <w:t>22% increase</w:t>
      </w:r>
      <w:r w:rsidRPr="00B152F4">
        <w:rPr>
          <w:rFonts w:ascii="Arial" w:eastAsia="Aptos" w:hAnsi="Arial" w:cs="Arial"/>
          <w:color w:val="000000" w:themeColor="text1"/>
          <w:sz w:val="22"/>
          <w:szCs w:val="22"/>
        </w:rPr>
        <w:t xml:space="preserve"> from 2022 [1]. Historical volumes were back-calculated using data from Intuitive’s investor releases and public summaries reporting </w:t>
      </w:r>
      <w:r w:rsidRPr="00B152F4">
        <w:rPr>
          <w:rFonts w:ascii="Arial" w:eastAsia="Aptos" w:hAnsi="Arial" w:cs="Arial"/>
          <w:b/>
          <w:bCs/>
          <w:color w:val="000000" w:themeColor="text1"/>
          <w:sz w:val="22"/>
          <w:szCs w:val="22"/>
        </w:rPr>
        <w:t>~200,000 procedures globally in 2012</w:t>
      </w:r>
      <w:r w:rsidRPr="00B152F4">
        <w:rPr>
          <w:rFonts w:ascii="Arial" w:eastAsia="Aptos" w:hAnsi="Arial" w:cs="Arial"/>
          <w:color w:val="000000" w:themeColor="text1"/>
          <w:sz w:val="22"/>
          <w:szCs w:val="22"/>
        </w:rPr>
        <w:t xml:space="preserve">, </w:t>
      </w:r>
      <w:r w:rsidRPr="00B152F4">
        <w:rPr>
          <w:rFonts w:ascii="Arial" w:eastAsia="Aptos" w:hAnsi="Arial" w:cs="Arial"/>
          <w:b/>
          <w:bCs/>
          <w:color w:val="000000" w:themeColor="text1"/>
          <w:sz w:val="22"/>
          <w:szCs w:val="22"/>
        </w:rPr>
        <w:t>~1 million by 2018</w:t>
      </w:r>
      <w:r w:rsidRPr="00B152F4">
        <w:rPr>
          <w:rFonts w:ascii="Arial" w:eastAsia="Aptos" w:hAnsi="Arial" w:cs="Arial"/>
          <w:color w:val="000000" w:themeColor="text1"/>
          <w:sz w:val="22"/>
          <w:szCs w:val="22"/>
        </w:rPr>
        <w:t xml:space="preserve">, and </w:t>
      </w:r>
      <w:r w:rsidRPr="00B152F4">
        <w:rPr>
          <w:rFonts w:ascii="Arial" w:eastAsia="Aptos" w:hAnsi="Arial" w:cs="Arial"/>
          <w:b/>
          <w:bCs/>
          <w:color w:val="000000" w:themeColor="text1"/>
          <w:sz w:val="22"/>
          <w:szCs w:val="22"/>
        </w:rPr>
        <w:t>1.88 million in 2022</w:t>
      </w:r>
      <w:r w:rsidRPr="00B152F4">
        <w:rPr>
          <w:rFonts w:ascii="Arial" w:eastAsia="Aptos" w:hAnsi="Arial" w:cs="Arial"/>
          <w:color w:val="000000" w:themeColor="text1"/>
          <w:sz w:val="22"/>
          <w:szCs w:val="22"/>
        </w:rPr>
        <w:t xml:space="preserve"> [2–4]. These values were used to create an anchor curve from which projections could be made.</w:t>
      </w:r>
    </w:p>
    <w:p w:rsidR="007A104C" w:rsidRPr="00B152F4" w:rsidRDefault="007A104C" w:rsidP="007A104C">
      <w:pPr>
        <w:rPr>
          <w:rFonts w:ascii="Arial" w:hAnsi="Arial" w:cs="Arial"/>
          <w:sz w:val="22"/>
          <w:szCs w:val="22"/>
        </w:rPr>
      </w:pP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lastRenderedPageBreak/>
        <w:t>Projection Methods</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Forward projections from 2024 to 2030 assumed a </w:t>
      </w:r>
      <w:r w:rsidRPr="00B152F4">
        <w:rPr>
          <w:rFonts w:ascii="Arial" w:eastAsia="Aptos" w:hAnsi="Arial" w:cs="Arial"/>
          <w:b/>
          <w:bCs/>
          <w:color w:val="000000" w:themeColor="text1"/>
          <w:sz w:val="22"/>
          <w:szCs w:val="22"/>
        </w:rPr>
        <w:t>compound annual growth rate (CAGR) between 11–15%</w:t>
      </w:r>
      <w:r w:rsidRPr="00B152F4">
        <w:rPr>
          <w:rFonts w:ascii="Arial" w:eastAsia="Aptos" w:hAnsi="Arial" w:cs="Arial"/>
          <w:color w:val="000000" w:themeColor="text1"/>
          <w:sz w:val="22"/>
          <w:szCs w:val="22"/>
        </w:rPr>
        <w:t>, based on multiple industry analyses [5–7]. This range reflects current placement rates, procedure growth trajectories, and broader market expectations. The CAGR values were cross-referenced against forecasts from market analysts, including Global Growth Insights, World Metrics, and Statista [6,7].</w:t>
      </w:r>
    </w:p>
    <w:p w:rsidR="007A104C" w:rsidRPr="00B152F4" w:rsidRDefault="007A104C" w:rsidP="007A104C">
      <w:pPr>
        <w:rPr>
          <w:rFonts w:ascii="Arial" w:hAnsi="Arial" w:cs="Arial"/>
          <w:sz w:val="22"/>
          <w:szCs w:val="22"/>
        </w:rPr>
      </w:pP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t>Regional Modelling (US, EU-27, APAC)</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The US, EU-27, and Asia–Pacific (APAC) were selected as proxy regions for global segmentation, with </w:t>
      </w:r>
      <w:r w:rsidRPr="00B152F4">
        <w:rPr>
          <w:rFonts w:ascii="Arial" w:eastAsia="Aptos" w:hAnsi="Arial" w:cs="Arial"/>
          <w:b/>
          <w:bCs/>
          <w:color w:val="000000" w:themeColor="text1"/>
          <w:sz w:val="22"/>
          <w:szCs w:val="22"/>
        </w:rPr>
        <w:t>fixed proportional shares</w:t>
      </w:r>
      <w:r w:rsidRPr="00B152F4">
        <w:rPr>
          <w:rFonts w:ascii="Arial" w:eastAsia="Aptos" w:hAnsi="Arial" w:cs="Arial"/>
          <w:color w:val="000000" w:themeColor="text1"/>
          <w:sz w:val="22"/>
          <w:szCs w:val="22"/>
        </w:rPr>
        <w:t xml:space="preserve"> derived from consensus market analyses:</w:t>
      </w:r>
    </w:p>
    <w:p w:rsidR="007A104C" w:rsidRPr="00B152F4" w:rsidRDefault="007A104C" w:rsidP="007A104C">
      <w:pPr>
        <w:pStyle w:val="ListParagraph"/>
        <w:numPr>
          <w:ilvl w:val="0"/>
          <w:numId w:val="5"/>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United States</w:t>
      </w:r>
      <w:r w:rsidRPr="00B152F4">
        <w:rPr>
          <w:rFonts w:ascii="Arial" w:eastAsia="Aptos" w:hAnsi="Arial" w:cs="Arial"/>
          <w:color w:val="000000" w:themeColor="text1"/>
          <w:sz w:val="22"/>
          <w:szCs w:val="22"/>
        </w:rPr>
        <w:t>: 60% of global volume</w:t>
      </w:r>
    </w:p>
    <w:p w:rsidR="007A104C" w:rsidRPr="00B152F4" w:rsidRDefault="007A104C" w:rsidP="007A104C">
      <w:pPr>
        <w:pStyle w:val="ListParagraph"/>
        <w:numPr>
          <w:ilvl w:val="0"/>
          <w:numId w:val="5"/>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European Union (EU-27)</w:t>
      </w:r>
      <w:r w:rsidRPr="00B152F4">
        <w:rPr>
          <w:rFonts w:ascii="Arial" w:eastAsia="Aptos" w:hAnsi="Arial" w:cs="Arial"/>
          <w:color w:val="000000" w:themeColor="text1"/>
          <w:sz w:val="22"/>
          <w:szCs w:val="22"/>
        </w:rPr>
        <w:t>: 28%</w:t>
      </w:r>
    </w:p>
    <w:p w:rsidR="007A104C" w:rsidRPr="00B152F4" w:rsidRDefault="007A104C" w:rsidP="007A104C">
      <w:pPr>
        <w:pStyle w:val="ListParagraph"/>
        <w:numPr>
          <w:ilvl w:val="0"/>
          <w:numId w:val="5"/>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Asia-Pacific</w:t>
      </w:r>
      <w:r w:rsidRPr="00B152F4">
        <w:rPr>
          <w:rFonts w:ascii="Arial" w:eastAsia="Aptos" w:hAnsi="Arial" w:cs="Arial"/>
          <w:color w:val="000000" w:themeColor="text1"/>
          <w:sz w:val="22"/>
          <w:szCs w:val="22"/>
        </w:rPr>
        <w:t>: 12% [8–10]</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These values were applied to the global curve to produce approximate regional volume trajectories. Though true regional uptake varies by year and system type, these estimates align with known system installations and financial reporting by major vendors [8]. Notably, </w:t>
      </w:r>
      <w:r w:rsidRPr="00B152F4">
        <w:rPr>
          <w:rFonts w:ascii="Arial" w:eastAsia="Aptos" w:hAnsi="Arial" w:cs="Arial"/>
          <w:b/>
          <w:bCs/>
          <w:color w:val="000000" w:themeColor="text1"/>
          <w:sz w:val="22"/>
          <w:szCs w:val="22"/>
        </w:rPr>
        <w:t>robotic surgery constitutes ~15% of US procedures</w:t>
      </w:r>
      <w:r w:rsidRPr="00B152F4">
        <w:rPr>
          <w:rFonts w:ascii="Arial" w:eastAsia="Aptos" w:hAnsi="Arial" w:cs="Arial"/>
          <w:color w:val="000000" w:themeColor="text1"/>
          <w:sz w:val="22"/>
          <w:szCs w:val="22"/>
        </w:rPr>
        <w:t xml:space="preserve">, compared to </w:t>
      </w:r>
      <w:r w:rsidRPr="00B152F4">
        <w:rPr>
          <w:rFonts w:ascii="Arial" w:eastAsia="Aptos" w:hAnsi="Arial" w:cs="Arial"/>
          <w:b/>
          <w:bCs/>
          <w:color w:val="000000" w:themeColor="text1"/>
          <w:sz w:val="22"/>
          <w:szCs w:val="22"/>
        </w:rPr>
        <w:t>~2% in Europe</w:t>
      </w:r>
      <w:r w:rsidRPr="00B152F4">
        <w:rPr>
          <w:rFonts w:ascii="Arial" w:eastAsia="Aptos" w:hAnsi="Arial" w:cs="Arial"/>
          <w:color w:val="000000" w:themeColor="text1"/>
          <w:sz w:val="22"/>
          <w:szCs w:val="22"/>
        </w:rPr>
        <w:t>, underscoring a pronounced adoption gap [11].</w:t>
      </w:r>
    </w:p>
    <w:p w:rsidR="007A104C" w:rsidRPr="00B152F4" w:rsidRDefault="007A104C" w:rsidP="007A104C">
      <w:pPr>
        <w:rPr>
          <w:rFonts w:ascii="Arial" w:hAnsi="Arial" w:cs="Arial"/>
          <w:sz w:val="22"/>
          <w:szCs w:val="22"/>
        </w:rPr>
      </w:pP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t>Manufacturer Share (Intuitive vs Others)</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Intuitive Surgical systems (including </w:t>
      </w:r>
      <w:r w:rsidRPr="00B152F4">
        <w:rPr>
          <w:rFonts w:ascii="Arial" w:eastAsia="Aptos" w:hAnsi="Arial" w:cs="Arial"/>
          <w:b/>
          <w:bCs/>
          <w:color w:val="000000" w:themeColor="text1"/>
          <w:sz w:val="22"/>
          <w:szCs w:val="22"/>
        </w:rPr>
        <w:t>da Vinci Xi, X, SP, Ion, and da Vinci 5</w:t>
      </w:r>
      <w:r w:rsidRPr="00B152F4">
        <w:rPr>
          <w:rFonts w:ascii="Arial" w:eastAsia="Aptos" w:hAnsi="Arial" w:cs="Arial"/>
          <w:color w:val="000000" w:themeColor="text1"/>
          <w:sz w:val="22"/>
          <w:szCs w:val="22"/>
        </w:rPr>
        <w:t xml:space="preserve">) have maintained &gt;90% global procedural share for most of the past decade [3,12]. As of 2024, da Vinci systems are still estimated to perform </w:t>
      </w:r>
      <w:r w:rsidRPr="00B152F4">
        <w:rPr>
          <w:rFonts w:ascii="Arial" w:eastAsia="Aptos" w:hAnsi="Arial" w:cs="Arial"/>
          <w:b/>
          <w:bCs/>
          <w:color w:val="000000" w:themeColor="text1"/>
          <w:sz w:val="22"/>
          <w:szCs w:val="22"/>
        </w:rPr>
        <w:t>~88–90% of all robotic procedures globally</w:t>
      </w:r>
      <w:r w:rsidRPr="00B152F4">
        <w:rPr>
          <w:rFonts w:ascii="Arial" w:eastAsia="Aptos" w:hAnsi="Arial" w:cs="Arial"/>
          <w:color w:val="000000" w:themeColor="text1"/>
          <w:sz w:val="22"/>
          <w:szCs w:val="22"/>
        </w:rPr>
        <w:t>, but new platforms have entered the market with growing momentum. These include:</w:t>
      </w:r>
    </w:p>
    <w:p w:rsidR="007A104C" w:rsidRPr="00B152F4" w:rsidRDefault="007A104C" w:rsidP="007A104C">
      <w:pPr>
        <w:pStyle w:val="ListParagraph"/>
        <w:numPr>
          <w:ilvl w:val="0"/>
          <w:numId w:val="4"/>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Medtronic Hugo</w:t>
      </w:r>
      <w:r w:rsidRPr="00B152F4">
        <w:rPr>
          <w:rFonts w:ascii="Arial" w:eastAsia="Aptos" w:hAnsi="Arial" w:cs="Arial"/>
          <w:color w:val="000000" w:themeColor="text1"/>
          <w:sz w:val="22"/>
          <w:szCs w:val="22"/>
        </w:rPr>
        <w:t xml:space="preserve"> (approved in Canada, Europe, Japan)</w:t>
      </w:r>
    </w:p>
    <w:p w:rsidR="007A104C" w:rsidRPr="00B152F4" w:rsidRDefault="007A104C" w:rsidP="007A104C">
      <w:pPr>
        <w:pStyle w:val="ListParagraph"/>
        <w:numPr>
          <w:ilvl w:val="0"/>
          <w:numId w:val="4"/>
        </w:numPr>
        <w:spacing w:before="240" w:after="240"/>
        <w:rPr>
          <w:rFonts w:ascii="Arial" w:eastAsia="Aptos" w:hAnsi="Arial" w:cs="Arial"/>
          <w:b/>
          <w:bCs/>
          <w:color w:val="000000" w:themeColor="text1"/>
          <w:sz w:val="22"/>
          <w:szCs w:val="22"/>
        </w:rPr>
      </w:pPr>
      <w:r w:rsidRPr="00B152F4">
        <w:rPr>
          <w:rFonts w:ascii="Arial" w:eastAsia="Aptos" w:hAnsi="Arial" w:cs="Arial"/>
          <w:b/>
          <w:bCs/>
          <w:color w:val="000000" w:themeColor="text1"/>
          <w:sz w:val="22"/>
          <w:szCs w:val="22"/>
        </w:rPr>
        <w:t>CMR Surgical Versius</w:t>
      </w:r>
    </w:p>
    <w:p w:rsidR="007A104C" w:rsidRPr="00B152F4" w:rsidRDefault="007A104C" w:rsidP="007A104C">
      <w:pPr>
        <w:pStyle w:val="ListParagraph"/>
        <w:numPr>
          <w:ilvl w:val="0"/>
          <w:numId w:val="4"/>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Stryker Mako</w:t>
      </w:r>
      <w:r w:rsidRPr="00B152F4">
        <w:rPr>
          <w:rFonts w:ascii="Arial" w:eastAsia="Aptos" w:hAnsi="Arial" w:cs="Arial"/>
          <w:color w:val="000000" w:themeColor="text1"/>
          <w:sz w:val="22"/>
          <w:szCs w:val="22"/>
        </w:rPr>
        <w:t xml:space="preserve"> (orthopaedics)</w:t>
      </w:r>
    </w:p>
    <w:p w:rsidR="007A104C" w:rsidRPr="00B152F4" w:rsidRDefault="007A104C" w:rsidP="007A104C">
      <w:pPr>
        <w:pStyle w:val="ListParagraph"/>
        <w:numPr>
          <w:ilvl w:val="0"/>
          <w:numId w:val="4"/>
        </w:numPr>
        <w:spacing w:before="240" w:after="240"/>
        <w:rPr>
          <w:rFonts w:ascii="Arial" w:eastAsia="Aptos" w:hAnsi="Arial" w:cs="Arial"/>
          <w:color w:val="000000" w:themeColor="text1"/>
          <w:sz w:val="22"/>
          <w:szCs w:val="22"/>
        </w:rPr>
      </w:pPr>
      <w:r w:rsidRPr="00B152F4">
        <w:rPr>
          <w:rFonts w:ascii="Arial" w:eastAsia="Aptos" w:hAnsi="Arial" w:cs="Arial"/>
          <w:b/>
          <w:bCs/>
          <w:color w:val="000000" w:themeColor="text1"/>
          <w:sz w:val="22"/>
          <w:szCs w:val="22"/>
        </w:rPr>
        <w:t>Zimmer Biomet ROSA</w:t>
      </w:r>
      <w:r w:rsidRPr="00B152F4">
        <w:rPr>
          <w:rFonts w:ascii="Arial" w:eastAsia="Aptos" w:hAnsi="Arial" w:cs="Arial"/>
          <w:color w:val="000000" w:themeColor="text1"/>
          <w:sz w:val="22"/>
          <w:szCs w:val="22"/>
        </w:rPr>
        <w:t xml:space="preserve">, </w:t>
      </w:r>
      <w:r w:rsidRPr="00B152F4">
        <w:rPr>
          <w:rFonts w:ascii="Arial" w:eastAsia="Aptos" w:hAnsi="Arial" w:cs="Arial"/>
          <w:b/>
          <w:bCs/>
          <w:color w:val="000000" w:themeColor="text1"/>
          <w:sz w:val="22"/>
          <w:szCs w:val="22"/>
        </w:rPr>
        <w:t>Globus ExcelsiusGPS</w:t>
      </w:r>
      <w:r w:rsidRPr="00B152F4">
        <w:rPr>
          <w:rFonts w:ascii="Arial" w:eastAsia="Aptos" w:hAnsi="Arial" w:cs="Arial"/>
          <w:color w:val="000000" w:themeColor="text1"/>
          <w:sz w:val="22"/>
          <w:szCs w:val="22"/>
        </w:rPr>
        <w:t>, and others</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The model assumes </w:t>
      </w:r>
      <w:r w:rsidRPr="00B152F4">
        <w:rPr>
          <w:rFonts w:ascii="Arial" w:eastAsia="Aptos" w:hAnsi="Arial" w:cs="Arial"/>
          <w:b/>
          <w:bCs/>
          <w:color w:val="000000" w:themeColor="text1"/>
          <w:sz w:val="22"/>
          <w:szCs w:val="22"/>
        </w:rPr>
        <w:t>non-Intuitive platforms rise to ~20% share by 2030</w:t>
      </w:r>
      <w:r w:rsidRPr="00B152F4">
        <w:rPr>
          <w:rFonts w:ascii="Arial" w:eastAsia="Aptos" w:hAnsi="Arial" w:cs="Arial"/>
          <w:color w:val="000000" w:themeColor="text1"/>
          <w:sz w:val="22"/>
          <w:szCs w:val="22"/>
        </w:rPr>
        <w:t>, aligned with conservative market displacement expectations and procedural ramp-up rates [6,13]. This gradual shift is reflected as a growing band of “Other Platforms” in the stacked chart.</w:t>
      </w:r>
    </w:p>
    <w:p w:rsidR="007A104C" w:rsidRPr="00B152F4" w:rsidRDefault="007A104C" w:rsidP="007A104C">
      <w:pPr>
        <w:rPr>
          <w:rFonts w:ascii="Arial" w:hAnsi="Arial" w:cs="Arial"/>
          <w:sz w:val="22"/>
          <w:szCs w:val="22"/>
        </w:rPr>
      </w:pPr>
    </w:p>
    <w:p w:rsidR="007A104C" w:rsidRPr="00B152F4" w:rsidRDefault="007A104C" w:rsidP="007A104C">
      <w:pPr>
        <w:pStyle w:val="Heading3"/>
        <w:spacing w:before="281" w:after="281"/>
        <w:rPr>
          <w:rFonts w:ascii="Arial" w:hAnsi="Arial" w:cs="Arial"/>
          <w:sz w:val="22"/>
          <w:szCs w:val="22"/>
        </w:rPr>
      </w:pPr>
      <w:r w:rsidRPr="00B152F4">
        <w:rPr>
          <w:rFonts w:ascii="Arial" w:eastAsia="Aptos" w:hAnsi="Arial" w:cs="Arial"/>
          <w:b/>
          <w:bCs/>
          <w:color w:val="000000" w:themeColor="text1"/>
          <w:sz w:val="22"/>
          <w:szCs w:val="22"/>
        </w:rPr>
        <w:lastRenderedPageBreak/>
        <w:t>Limitations</w:t>
      </w:r>
    </w:p>
    <w:p w:rsidR="007A104C" w:rsidRPr="00B152F4" w:rsidRDefault="007A104C" w:rsidP="007A104C">
      <w:pPr>
        <w:spacing w:before="240" w:after="240"/>
        <w:rPr>
          <w:rFonts w:ascii="Arial" w:hAnsi="Arial" w:cs="Arial"/>
          <w:sz w:val="22"/>
          <w:szCs w:val="22"/>
        </w:rPr>
      </w:pPr>
      <w:r w:rsidRPr="00B152F4">
        <w:rPr>
          <w:rFonts w:ascii="Arial" w:eastAsia="Aptos" w:hAnsi="Arial" w:cs="Arial"/>
          <w:color w:val="000000" w:themeColor="text1"/>
          <w:sz w:val="22"/>
          <w:szCs w:val="22"/>
        </w:rPr>
        <w:t xml:space="preserve">No adjustment was made for </w:t>
      </w:r>
      <w:r w:rsidRPr="00B152F4">
        <w:rPr>
          <w:rFonts w:ascii="Arial" w:eastAsia="Aptos" w:hAnsi="Arial" w:cs="Arial"/>
          <w:b/>
          <w:bCs/>
          <w:color w:val="000000" w:themeColor="text1"/>
          <w:sz w:val="22"/>
          <w:szCs w:val="22"/>
        </w:rPr>
        <w:t>hard- vs soft-tissue segmentation</w:t>
      </w:r>
      <w:r w:rsidRPr="00B152F4">
        <w:rPr>
          <w:rFonts w:ascii="Arial" w:eastAsia="Aptos" w:hAnsi="Arial" w:cs="Arial"/>
          <w:color w:val="000000" w:themeColor="text1"/>
          <w:sz w:val="22"/>
          <w:szCs w:val="22"/>
        </w:rPr>
        <w:t xml:space="preserve">, due to lack of disaggregated global data. Figures represent </w:t>
      </w:r>
      <w:r w:rsidRPr="00B152F4">
        <w:rPr>
          <w:rFonts w:ascii="Arial" w:eastAsia="Aptos" w:hAnsi="Arial" w:cs="Arial"/>
          <w:b/>
          <w:bCs/>
          <w:color w:val="000000" w:themeColor="text1"/>
          <w:sz w:val="22"/>
          <w:szCs w:val="22"/>
        </w:rPr>
        <w:t>annual robotic procedures</w:t>
      </w:r>
      <w:r w:rsidRPr="00B152F4">
        <w:rPr>
          <w:rFonts w:ascii="Arial" w:eastAsia="Aptos" w:hAnsi="Arial" w:cs="Arial"/>
          <w:color w:val="000000" w:themeColor="text1"/>
          <w:sz w:val="22"/>
          <w:szCs w:val="22"/>
        </w:rPr>
        <w:t xml:space="preserve">, not cumulative system installations. </w:t>
      </w:r>
      <w:r w:rsidRPr="00B152F4">
        <w:rPr>
          <w:rFonts w:ascii="Arial" w:eastAsia="Aptos" w:hAnsi="Arial" w:cs="Arial"/>
          <w:b/>
          <w:bCs/>
          <w:color w:val="000000" w:themeColor="text1"/>
          <w:sz w:val="22"/>
          <w:szCs w:val="22"/>
        </w:rPr>
        <w:t>Low- and middle-income countries (LMICs)</w:t>
      </w:r>
      <w:r w:rsidRPr="00B152F4">
        <w:rPr>
          <w:rFonts w:ascii="Arial" w:eastAsia="Aptos" w:hAnsi="Arial" w:cs="Arial"/>
          <w:color w:val="000000" w:themeColor="text1"/>
          <w:sz w:val="22"/>
          <w:szCs w:val="22"/>
        </w:rPr>
        <w:t xml:space="preserve"> are excluded due to insufficient volume data. NHS England projections (e.g. 500,000 procedures annually by 2035) were excluded from this version but modelled separately [14]. All projections assume continued regulatory approvals, procedural learning, and procurement funding.</w:t>
      </w:r>
    </w:p>
    <w:p w:rsidR="007A104C" w:rsidRPr="00B152F4" w:rsidRDefault="007A104C" w:rsidP="007A104C">
      <w:pPr>
        <w:rPr>
          <w:rFonts w:ascii="Arial" w:hAnsi="Arial" w:cs="Arial"/>
          <w:sz w:val="22"/>
          <w:szCs w:val="22"/>
        </w:rPr>
      </w:pPr>
    </w:p>
    <w:p w:rsidR="007A104C" w:rsidRPr="00B152F4" w:rsidRDefault="007A104C" w:rsidP="007A104C">
      <w:pPr>
        <w:pStyle w:val="Heading2"/>
        <w:spacing w:before="299" w:after="299"/>
        <w:rPr>
          <w:rFonts w:ascii="Arial" w:hAnsi="Arial" w:cs="Arial"/>
          <w:sz w:val="22"/>
          <w:szCs w:val="22"/>
        </w:rPr>
      </w:pPr>
      <w:r w:rsidRPr="00B152F4">
        <w:rPr>
          <w:rFonts w:ascii="Arial" w:eastAsia="Aptos" w:hAnsi="Arial" w:cs="Arial"/>
          <w:b/>
          <w:bCs/>
          <w:color w:val="000000" w:themeColor="text1"/>
          <w:sz w:val="22"/>
          <w:szCs w:val="22"/>
        </w:rPr>
        <w:t>References</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Intuitive Surgical Inc. Q4 2023 Press Release. 2024. </w:t>
      </w:r>
      <w:hyperlink r:id="rId5">
        <w:r w:rsidRPr="00B152F4">
          <w:rPr>
            <w:rStyle w:val="Hyperlink"/>
            <w:rFonts w:ascii="Arial" w:eastAsia="Aptos" w:hAnsi="Arial" w:cs="Arial"/>
            <w:sz w:val="22"/>
            <w:szCs w:val="22"/>
          </w:rPr>
          <w:t>https://www.sec.gov/Archives/edgar/data/1035267/000103526724000006/q423ex-991q4prexreleaseq4o.htm</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Wikipedia contributors. da Vinci Surgical System. 2024. </w:t>
      </w:r>
      <w:hyperlink r:id="rId6">
        <w:r w:rsidRPr="00B152F4">
          <w:rPr>
            <w:rStyle w:val="Hyperlink"/>
            <w:rFonts w:ascii="Arial" w:eastAsia="Aptos" w:hAnsi="Arial" w:cs="Arial"/>
            <w:sz w:val="22"/>
            <w:szCs w:val="22"/>
          </w:rPr>
          <w:t>https://en.wikipedia.org/wiki/Da_Vinci_Surgical_System</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Zipdo. Robotic Surgery Statistics. 2024. </w:t>
      </w:r>
      <w:hyperlink r:id="rId7">
        <w:r w:rsidRPr="00B152F4">
          <w:rPr>
            <w:rStyle w:val="Hyperlink"/>
            <w:rFonts w:ascii="Arial" w:eastAsia="Aptos" w:hAnsi="Arial" w:cs="Arial"/>
            <w:sz w:val="22"/>
            <w:szCs w:val="22"/>
          </w:rPr>
          <w:t>https://zipdo.co/robotic-surgery-statistics/</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Surgical Robotics Technology. Global Procedure Volumes Overview. 2024.</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World Metrics. Robotic Surgery Statistics. 2024. </w:t>
      </w:r>
      <w:hyperlink r:id="rId8">
        <w:r w:rsidRPr="00B152F4">
          <w:rPr>
            <w:rStyle w:val="Hyperlink"/>
            <w:rFonts w:ascii="Arial" w:eastAsia="Aptos" w:hAnsi="Arial" w:cs="Arial"/>
            <w:sz w:val="22"/>
            <w:szCs w:val="22"/>
          </w:rPr>
          <w:t>https://worldmetrics.org/robotic-surgery-statistics/</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Global Growth Insights. Surgical Robots Market Report. 2024. </w:t>
      </w:r>
      <w:hyperlink r:id="rId9">
        <w:r w:rsidRPr="00B152F4">
          <w:rPr>
            <w:rStyle w:val="Hyperlink"/>
            <w:rFonts w:ascii="Arial" w:eastAsia="Aptos" w:hAnsi="Arial" w:cs="Arial"/>
            <w:sz w:val="22"/>
            <w:szCs w:val="22"/>
          </w:rPr>
          <w:t>https://www.globalgrowthinsights.com/market-reports/surgical-robots-market-106955</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Market.us. Robotic Surgery Market Analysis. 2024. </w:t>
      </w:r>
      <w:hyperlink r:id="rId10">
        <w:r w:rsidRPr="00B152F4">
          <w:rPr>
            <w:rStyle w:val="Hyperlink"/>
            <w:rFonts w:ascii="Arial" w:eastAsia="Aptos" w:hAnsi="Arial" w:cs="Arial"/>
            <w:sz w:val="22"/>
            <w:szCs w:val="22"/>
          </w:rPr>
          <w:t>https://media.market.us/robotic-surgery-statistics/</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Oliver Wyman. Positioning the Industry for Growth in Robotic Surgery. 2023. </w:t>
      </w:r>
      <w:hyperlink r:id="rId11">
        <w:r w:rsidRPr="00B152F4">
          <w:rPr>
            <w:rStyle w:val="Hyperlink"/>
            <w:rFonts w:ascii="Arial" w:eastAsia="Aptos" w:hAnsi="Arial" w:cs="Arial"/>
            <w:sz w:val="22"/>
            <w:szCs w:val="22"/>
          </w:rPr>
          <w:t>https://www.oliverwyman.com/our-expertise/perspectives/health/2023/august/positioning-the-industry-for-growth-in-robotic-surgery.html</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 xml:space="preserve">CWorldWide. Advancements in Robotic Surgery. 2024. </w:t>
      </w:r>
      <w:hyperlink r:id="rId12">
        <w:r w:rsidRPr="00B152F4">
          <w:rPr>
            <w:rStyle w:val="Hyperlink"/>
            <w:rFonts w:ascii="Arial" w:eastAsia="Aptos" w:hAnsi="Arial" w:cs="Arial"/>
            <w:sz w:val="22"/>
            <w:szCs w:val="22"/>
          </w:rPr>
          <w:t>https://cworldwide.com/insights-news/item/?id=5922</w:t>
        </w:r>
      </w:hyperlink>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Statista. Surgical Robotics Global Revenue by Region. 2024.</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NICE. Early Value Assessments: Robotic Surgery Platforms. 2025.</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Investors.com. Robotic Surgery Market Share Data. 2024.</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Becker’s Spine Review. Surgical Robotics Tracker. 2024.</w:t>
      </w:r>
    </w:p>
    <w:p w:rsidR="007A104C" w:rsidRPr="00B152F4" w:rsidRDefault="007A104C" w:rsidP="007A104C">
      <w:pPr>
        <w:pStyle w:val="ListParagraph"/>
        <w:numPr>
          <w:ilvl w:val="0"/>
          <w:numId w:val="3"/>
        </w:numPr>
        <w:spacing w:before="240" w:after="240"/>
        <w:rPr>
          <w:rFonts w:ascii="Arial" w:eastAsia="Aptos" w:hAnsi="Arial" w:cs="Arial"/>
          <w:color w:val="000000" w:themeColor="text1"/>
          <w:sz w:val="22"/>
          <w:szCs w:val="22"/>
        </w:rPr>
      </w:pPr>
      <w:r w:rsidRPr="00B152F4">
        <w:rPr>
          <w:rFonts w:ascii="Arial" w:eastAsia="Aptos" w:hAnsi="Arial" w:cs="Arial"/>
          <w:color w:val="000000" w:themeColor="text1"/>
          <w:sz w:val="22"/>
          <w:szCs w:val="22"/>
        </w:rPr>
        <w:t>NHS England. Robotic Surgery Expansion Plans. 2024.</w:t>
      </w:r>
    </w:p>
    <w:p w:rsidR="007A104C" w:rsidRPr="00B152F4" w:rsidRDefault="007A104C">
      <w:pPr>
        <w:rPr>
          <w:rFonts w:ascii="Arial" w:hAnsi="Arial" w:cs="Arial"/>
          <w:sz w:val="22"/>
          <w:szCs w:val="22"/>
        </w:rPr>
      </w:pPr>
    </w:p>
    <w:sectPr w:rsidR="007A104C" w:rsidRPr="00B152F4" w:rsidSect="002734A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57398"/>
    <w:multiLevelType w:val="hybridMultilevel"/>
    <w:tmpl w:val="6C349046"/>
    <w:lvl w:ilvl="0" w:tplc="47D08A00">
      <w:start w:val="1"/>
      <w:numFmt w:val="decimal"/>
      <w:lvlText w:val="%1."/>
      <w:lvlJc w:val="left"/>
      <w:pPr>
        <w:ind w:left="720" w:hanging="360"/>
      </w:pPr>
    </w:lvl>
    <w:lvl w:ilvl="1" w:tplc="B352DADE">
      <w:start w:val="1"/>
      <w:numFmt w:val="lowerLetter"/>
      <w:lvlText w:val="%2."/>
      <w:lvlJc w:val="left"/>
      <w:pPr>
        <w:ind w:left="1440" w:hanging="360"/>
      </w:pPr>
    </w:lvl>
    <w:lvl w:ilvl="2" w:tplc="2998220E">
      <w:start w:val="1"/>
      <w:numFmt w:val="lowerRoman"/>
      <w:lvlText w:val="%3."/>
      <w:lvlJc w:val="right"/>
      <w:pPr>
        <w:ind w:left="2160" w:hanging="180"/>
      </w:pPr>
    </w:lvl>
    <w:lvl w:ilvl="3" w:tplc="B49C55C2">
      <w:start w:val="1"/>
      <w:numFmt w:val="decimal"/>
      <w:lvlText w:val="%4."/>
      <w:lvlJc w:val="left"/>
      <w:pPr>
        <w:ind w:left="2880" w:hanging="360"/>
      </w:pPr>
    </w:lvl>
    <w:lvl w:ilvl="4" w:tplc="8C3AF90A">
      <w:start w:val="1"/>
      <w:numFmt w:val="lowerLetter"/>
      <w:lvlText w:val="%5."/>
      <w:lvlJc w:val="left"/>
      <w:pPr>
        <w:ind w:left="3600" w:hanging="360"/>
      </w:pPr>
    </w:lvl>
    <w:lvl w:ilvl="5" w:tplc="81AAD366">
      <w:start w:val="1"/>
      <w:numFmt w:val="lowerRoman"/>
      <w:lvlText w:val="%6."/>
      <w:lvlJc w:val="right"/>
      <w:pPr>
        <w:ind w:left="4320" w:hanging="180"/>
      </w:pPr>
    </w:lvl>
    <w:lvl w:ilvl="6" w:tplc="995ABB9C">
      <w:start w:val="1"/>
      <w:numFmt w:val="decimal"/>
      <w:lvlText w:val="%7."/>
      <w:lvlJc w:val="left"/>
      <w:pPr>
        <w:ind w:left="5040" w:hanging="360"/>
      </w:pPr>
    </w:lvl>
    <w:lvl w:ilvl="7" w:tplc="EBEC5F08">
      <w:start w:val="1"/>
      <w:numFmt w:val="lowerLetter"/>
      <w:lvlText w:val="%8."/>
      <w:lvlJc w:val="left"/>
      <w:pPr>
        <w:ind w:left="5760" w:hanging="360"/>
      </w:pPr>
    </w:lvl>
    <w:lvl w:ilvl="8" w:tplc="1F0A04B4">
      <w:start w:val="1"/>
      <w:numFmt w:val="lowerRoman"/>
      <w:lvlText w:val="%9."/>
      <w:lvlJc w:val="right"/>
      <w:pPr>
        <w:ind w:left="6480" w:hanging="180"/>
      </w:pPr>
    </w:lvl>
  </w:abstractNum>
  <w:abstractNum w:abstractNumId="1" w15:restartNumberingAfterBreak="0">
    <w:nsid w:val="1B9A9F1B"/>
    <w:multiLevelType w:val="hybridMultilevel"/>
    <w:tmpl w:val="8D66F7F2"/>
    <w:lvl w:ilvl="0" w:tplc="BFB2AE96">
      <w:start w:val="1"/>
      <w:numFmt w:val="bullet"/>
      <w:lvlText w:val=""/>
      <w:lvlJc w:val="left"/>
      <w:pPr>
        <w:ind w:left="720" w:hanging="360"/>
      </w:pPr>
      <w:rPr>
        <w:rFonts w:ascii="Symbol" w:hAnsi="Symbol" w:hint="default"/>
      </w:rPr>
    </w:lvl>
    <w:lvl w:ilvl="1" w:tplc="28BE6C7C">
      <w:start w:val="1"/>
      <w:numFmt w:val="bullet"/>
      <w:lvlText w:val="o"/>
      <w:lvlJc w:val="left"/>
      <w:pPr>
        <w:ind w:left="1440" w:hanging="360"/>
      </w:pPr>
      <w:rPr>
        <w:rFonts w:ascii="Courier New" w:hAnsi="Courier New" w:hint="default"/>
      </w:rPr>
    </w:lvl>
    <w:lvl w:ilvl="2" w:tplc="69BCC860">
      <w:start w:val="1"/>
      <w:numFmt w:val="bullet"/>
      <w:lvlText w:val=""/>
      <w:lvlJc w:val="left"/>
      <w:pPr>
        <w:ind w:left="2160" w:hanging="360"/>
      </w:pPr>
      <w:rPr>
        <w:rFonts w:ascii="Wingdings" w:hAnsi="Wingdings" w:hint="default"/>
      </w:rPr>
    </w:lvl>
    <w:lvl w:ilvl="3" w:tplc="AF8AB280">
      <w:start w:val="1"/>
      <w:numFmt w:val="bullet"/>
      <w:lvlText w:val=""/>
      <w:lvlJc w:val="left"/>
      <w:pPr>
        <w:ind w:left="2880" w:hanging="360"/>
      </w:pPr>
      <w:rPr>
        <w:rFonts w:ascii="Symbol" w:hAnsi="Symbol" w:hint="default"/>
      </w:rPr>
    </w:lvl>
    <w:lvl w:ilvl="4" w:tplc="779C395A">
      <w:start w:val="1"/>
      <w:numFmt w:val="bullet"/>
      <w:lvlText w:val="o"/>
      <w:lvlJc w:val="left"/>
      <w:pPr>
        <w:ind w:left="3600" w:hanging="360"/>
      </w:pPr>
      <w:rPr>
        <w:rFonts w:ascii="Courier New" w:hAnsi="Courier New" w:hint="default"/>
      </w:rPr>
    </w:lvl>
    <w:lvl w:ilvl="5" w:tplc="7F2C44CA">
      <w:start w:val="1"/>
      <w:numFmt w:val="bullet"/>
      <w:lvlText w:val=""/>
      <w:lvlJc w:val="left"/>
      <w:pPr>
        <w:ind w:left="4320" w:hanging="360"/>
      </w:pPr>
      <w:rPr>
        <w:rFonts w:ascii="Wingdings" w:hAnsi="Wingdings" w:hint="default"/>
      </w:rPr>
    </w:lvl>
    <w:lvl w:ilvl="6" w:tplc="503C6F08">
      <w:start w:val="1"/>
      <w:numFmt w:val="bullet"/>
      <w:lvlText w:val=""/>
      <w:lvlJc w:val="left"/>
      <w:pPr>
        <w:ind w:left="5040" w:hanging="360"/>
      </w:pPr>
      <w:rPr>
        <w:rFonts w:ascii="Symbol" w:hAnsi="Symbol" w:hint="default"/>
      </w:rPr>
    </w:lvl>
    <w:lvl w:ilvl="7" w:tplc="00AE772C">
      <w:start w:val="1"/>
      <w:numFmt w:val="bullet"/>
      <w:lvlText w:val="o"/>
      <w:lvlJc w:val="left"/>
      <w:pPr>
        <w:ind w:left="5760" w:hanging="360"/>
      </w:pPr>
      <w:rPr>
        <w:rFonts w:ascii="Courier New" w:hAnsi="Courier New" w:hint="default"/>
      </w:rPr>
    </w:lvl>
    <w:lvl w:ilvl="8" w:tplc="78E2F954">
      <w:start w:val="1"/>
      <w:numFmt w:val="bullet"/>
      <w:lvlText w:val=""/>
      <w:lvlJc w:val="left"/>
      <w:pPr>
        <w:ind w:left="6480" w:hanging="360"/>
      </w:pPr>
      <w:rPr>
        <w:rFonts w:ascii="Wingdings" w:hAnsi="Wingdings" w:hint="default"/>
      </w:rPr>
    </w:lvl>
  </w:abstractNum>
  <w:abstractNum w:abstractNumId="2" w15:restartNumberingAfterBreak="0">
    <w:nsid w:val="520D8B8D"/>
    <w:multiLevelType w:val="hybridMultilevel"/>
    <w:tmpl w:val="5EDA3B8C"/>
    <w:lvl w:ilvl="0" w:tplc="D70C9D56">
      <w:start w:val="1"/>
      <w:numFmt w:val="bullet"/>
      <w:lvlText w:val=""/>
      <w:lvlJc w:val="left"/>
      <w:pPr>
        <w:ind w:left="720" w:hanging="360"/>
      </w:pPr>
      <w:rPr>
        <w:rFonts w:ascii="Symbol" w:hAnsi="Symbol" w:hint="default"/>
      </w:rPr>
    </w:lvl>
    <w:lvl w:ilvl="1" w:tplc="7820ED80">
      <w:start w:val="1"/>
      <w:numFmt w:val="bullet"/>
      <w:lvlText w:val="o"/>
      <w:lvlJc w:val="left"/>
      <w:pPr>
        <w:ind w:left="1440" w:hanging="360"/>
      </w:pPr>
      <w:rPr>
        <w:rFonts w:ascii="Courier New" w:hAnsi="Courier New" w:hint="default"/>
      </w:rPr>
    </w:lvl>
    <w:lvl w:ilvl="2" w:tplc="E14EFB70">
      <w:start w:val="1"/>
      <w:numFmt w:val="bullet"/>
      <w:lvlText w:val=""/>
      <w:lvlJc w:val="left"/>
      <w:pPr>
        <w:ind w:left="2160" w:hanging="360"/>
      </w:pPr>
      <w:rPr>
        <w:rFonts w:ascii="Wingdings" w:hAnsi="Wingdings" w:hint="default"/>
      </w:rPr>
    </w:lvl>
    <w:lvl w:ilvl="3" w:tplc="8C3EB316">
      <w:start w:val="1"/>
      <w:numFmt w:val="bullet"/>
      <w:lvlText w:val=""/>
      <w:lvlJc w:val="left"/>
      <w:pPr>
        <w:ind w:left="2880" w:hanging="360"/>
      </w:pPr>
      <w:rPr>
        <w:rFonts w:ascii="Symbol" w:hAnsi="Symbol" w:hint="default"/>
      </w:rPr>
    </w:lvl>
    <w:lvl w:ilvl="4" w:tplc="E0246004">
      <w:start w:val="1"/>
      <w:numFmt w:val="bullet"/>
      <w:lvlText w:val="o"/>
      <w:lvlJc w:val="left"/>
      <w:pPr>
        <w:ind w:left="3600" w:hanging="360"/>
      </w:pPr>
      <w:rPr>
        <w:rFonts w:ascii="Courier New" w:hAnsi="Courier New" w:hint="default"/>
      </w:rPr>
    </w:lvl>
    <w:lvl w:ilvl="5" w:tplc="0A0EFD20">
      <w:start w:val="1"/>
      <w:numFmt w:val="bullet"/>
      <w:lvlText w:val=""/>
      <w:lvlJc w:val="left"/>
      <w:pPr>
        <w:ind w:left="4320" w:hanging="360"/>
      </w:pPr>
      <w:rPr>
        <w:rFonts w:ascii="Wingdings" w:hAnsi="Wingdings" w:hint="default"/>
      </w:rPr>
    </w:lvl>
    <w:lvl w:ilvl="6" w:tplc="7D98BBB6">
      <w:start w:val="1"/>
      <w:numFmt w:val="bullet"/>
      <w:lvlText w:val=""/>
      <w:lvlJc w:val="left"/>
      <w:pPr>
        <w:ind w:left="5040" w:hanging="360"/>
      </w:pPr>
      <w:rPr>
        <w:rFonts w:ascii="Symbol" w:hAnsi="Symbol" w:hint="default"/>
      </w:rPr>
    </w:lvl>
    <w:lvl w:ilvl="7" w:tplc="B492F4A4">
      <w:start w:val="1"/>
      <w:numFmt w:val="bullet"/>
      <w:lvlText w:val="o"/>
      <w:lvlJc w:val="left"/>
      <w:pPr>
        <w:ind w:left="5760" w:hanging="360"/>
      </w:pPr>
      <w:rPr>
        <w:rFonts w:ascii="Courier New" w:hAnsi="Courier New" w:hint="default"/>
      </w:rPr>
    </w:lvl>
    <w:lvl w:ilvl="8" w:tplc="FE406DFC">
      <w:start w:val="1"/>
      <w:numFmt w:val="bullet"/>
      <w:lvlText w:val=""/>
      <w:lvlJc w:val="left"/>
      <w:pPr>
        <w:ind w:left="6480" w:hanging="360"/>
      </w:pPr>
      <w:rPr>
        <w:rFonts w:ascii="Wingdings" w:hAnsi="Wingdings" w:hint="default"/>
      </w:rPr>
    </w:lvl>
  </w:abstractNum>
  <w:abstractNum w:abstractNumId="3" w15:restartNumberingAfterBreak="0">
    <w:nsid w:val="5299C1A1"/>
    <w:multiLevelType w:val="hybridMultilevel"/>
    <w:tmpl w:val="A56A7BAE"/>
    <w:lvl w:ilvl="0" w:tplc="2A741208">
      <w:start w:val="1"/>
      <w:numFmt w:val="decimal"/>
      <w:lvlText w:val="%1."/>
      <w:lvlJc w:val="left"/>
      <w:pPr>
        <w:ind w:left="720" w:hanging="360"/>
      </w:pPr>
    </w:lvl>
    <w:lvl w:ilvl="1" w:tplc="432A1024">
      <w:start w:val="1"/>
      <w:numFmt w:val="lowerLetter"/>
      <w:lvlText w:val="%2."/>
      <w:lvlJc w:val="left"/>
      <w:pPr>
        <w:ind w:left="1440" w:hanging="360"/>
      </w:pPr>
    </w:lvl>
    <w:lvl w:ilvl="2" w:tplc="9326A3D6">
      <w:start w:val="1"/>
      <w:numFmt w:val="lowerRoman"/>
      <w:lvlText w:val="%3."/>
      <w:lvlJc w:val="right"/>
      <w:pPr>
        <w:ind w:left="2160" w:hanging="180"/>
      </w:pPr>
    </w:lvl>
    <w:lvl w:ilvl="3" w:tplc="D5EE969C">
      <w:start w:val="1"/>
      <w:numFmt w:val="decimal"/>
      <w:lvlText w:val="%4."/>
      <w:lvlJc w:val="left"/>
      <w:pPr>
        <w:ind w:left="2880" w:hanging="360"/>
      </w:pPr>
    </w:lvl>
    <w:lvl w:ilvl="4" w:tplc="808CD798">
      <w:start w:val="1"/>
      <w:numFmt w:val="lowerLetter"/>
      <w:lvlText w:val="%5."/>
      <w:lvlJc w:val="left"/>
      <w:pPr>
        <w:ind w:left="3600" w:hanging="360"/>
      </w:pPr>
    </w:lvl>
    <w:lvl w:ilvl="5" w:tplc="96001CB8">
      <w:start w:val="1"/>
      <w:numFmt w:val="lowerRoman"/>
      <w:lvlText w:val="%6."/>
      <w:lvlJc w:val="right"/>
      <w:pPr>
        <w:ind w:left="4320" w:hanging="180"/>
      </w:pPr>
    </w:lvl>
    <w:lvl w:ilvl="6" w:tplc="3BC2DB5E">
      <w:start w:val="1"/>
      <w:numFmt w:val="decimal"/>
      <w:lvlText w:val="%7."/>
      <w:lvlJc w:val="left"/>
      <w:pPr>
        <w:ind w:left="5040" w:hanging="360"/>
      </w:pPr>
    </w:lvl>
    <w:lvl w:ilvl="7" w:tplc="3C00341C">
      <w:start w:val="1"/>
      <w:numFmt w:val="lowerLetter"/>
      <w:lvlText w:val="%8."/>
      <w:lvlJc w:val="left"/>
      <w:pPr>
        <w:ind w:left="5760" w:hanging="360"/>
      </w:pPr>
    </w:lvl>
    <w:lvl w:ilvl="8" w:tplc="69FED2CC">
      <w:start w:val="1"/>
      <w:numFmt w:val="lowerRoman"/>
      <w:lvlText w:val="%9."/>
      <w:lvlJc w:val="right"/>
      <w:pPr>
        <w:ind w:left="6480" w:hanging="180"/>
      </w:pPr>
    </w:lvl>
  </w:abstractNum>
  <w:abstractNum w:abstractNumId="4" w15:restartNumberingAfterBreak="0">
    <w:nsid w:val="7B7339F3"/>
    <w:multiLevelType w:val="multilevel"/>
    <w:tmpl w:val="C74C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5900764">
    <w:abstractNumId w:val="4"/>
  </w:num>
  <w:num w:numId="2" w16cid:durableId="1572543121">
    <w:abstractNumId w:val="3"/>
  </w:num>
  <w:num w:numId="3" w16cid:durableId="512379753">
    <w:abstractNumId w:val="0"/>
  </w:num>
  <w:num w:numId="4" w16cid:durableId="513809824">
    <w:abstractNumId w:val="2"/>
  </w:num>
  <w:num w:numId="5" w16cid:durableId="113871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4C"/>
    <w:rsid w:val="000027BB"/>
    <w:rsid w:val="000049F3"/>
    <w:rsid w:val="00023454"/>
    <w:rsid w:val="000330DE"/>
    <w:rsid w:val="000441A8"/>
    <w:rsid w:val="0009463D"/>
    <w:rsid w:val="000A1DE1"/>
    <w:rsid w:val="000B6BA1"/>
    <w:rsid w:val="000C0B05"/>
    <w:rsid w:val="001540DC"/>
    <w:rsid w:val="0016254E"/>
    <w:rsid w:val="001702DE"/>
    <w:rsid w:val="001A22A1"/>
    <w:rsid w:val="001C2678"/>
    <w:rsid w:val="00250CAC"/>
    <w:rsid w:val="002734AD"/>
    <w:rsid w:val="00275CFC"/>
    <w:rsid w:val="002779AB"/>
    <w:rsid w:val="00290320"/>
    <w:rsid w:val="002A6CB3"/>
    <w:rsid w:val="002B3811"/>
    <w:rsid w:val="002D1A77"/>
    <w:rsid w:val="002D24E0"/>
    <w:rsid w:val="002F5CC5"/>
    <w:rsid w:val="00332DE8"/>
    <w:rsid w:val="00354646"/>
    <w:rsid w:val="003554E1"/>
    <w:rsid w:val="003C5638"/>
    <w:rsid w:val="003D40BA"/>
    <w:rsid w:val="004122BD"/>
    <w:rsid w:val="004146DE"/>
    <w:rsid w:val="0043096D"/>
    <w:rsid w:val="0043550C"/>
    <w:rsid w:val="00455F8F"/>
    <w:rsid w:val="004625C1"/>
    <w:rsid w:val="00465134"/>
    <w:rsid w:val="004B3FEC"/>
    <w:rsid w:val="004B5E57"/>
    <w:rsid w:val="004C237E"/>
    <w:rsid w:val="004C25D7"/>
    <w:rsid w:val="004D1C5B"/>
    <w:rsid w:val="005012C2"/>
    <w:rsid w:val="0051575B"/>
    <w:rsid w:val="00522C11"/>
    <w:rsid w:val="005C5585"/>
    <w:rsid w:val="005D49DE"/>
    <w:rsid w:val="005E7806"/>
    <w:rsid w:val="006173BA"/>
    <w:rsid w:val="00634B78"/>
    <w:rsid w:val="006363E5"/>
    <w:rsid w:val="006409F3"/>
    <w:rsid w:val="006621AE"/>
    <w:rsid w:val="006647E7"/>
    <w:rsid w:val="00675084"/>
    <w:rsid w:val="00692641"/>
    <w:rsid w:val="00697CE1"/>
    <w:rsid w:val="006C1422"/>
    <w:rsid w:val="006C54CB"/>
    <w:rsid w:val="00740FEC"/>
    <w:rsid w:val="00791E63"/>
    <w:rsid w:val="00792F79"/>
    <w:rsid w:val="007A104C"/>
    <w:rsid w:val="007C2EE1"/>
    <w:rsid w:val="007C3256"/>
    <w:rsid w:val="007E3620"/>
    <w:rsid w:val="007E6A76"/>
    <w:rsid w:val="00806DDC"/>
    <w:rsid w:val="00822A59"/>
    <w:rsid w:val="00857D78"/>
    <w:rsid w:val="00870482"/>
    <w:rsid w:val="0087482B"/>
    <w:rsid w:val="00886F9B"/>
    <w:rsid w:val="008943BC"/>
    <w:rsid w:val="00895DC0"/>
    <w:rsid w:val="008A2236"/>
    <w:rsid w:val="008A41B1"/>
    <w:rsid w:val="008B4E0E"/>
    <w:rsid w:val="008D486D"/>
    <w:rsid w:val="008F53BE"/>
    <w:rsid w:val="00914810"/>
    <w:rsid w:val="00944B18"/>
    <w:rsid w:val="009A2F17"/>
    <w:rsid w:val="009A6F67"/>
    <w:rsid w:val="00A017DF"/>
    <w:rsid w:val="00A218DC"/>
    <w:rsid w:val="00A24144"/>
    <w:rsid w:val="00A24444"/>
    <w:rsid w:val="00A370A3"/>
    <w:rsid w:val="00A671C6"/>
    <w:rsid w:val="00A8313A"/>
    <w:rsid w:val="00AD4450"/>
    <w:rsid w:val="00B04C1E"/>
    <w:rsid w:val="00B152F4"/>
    <w:rsid w:val="00B22759"/>
    <w:rsid w:val="00B27C9F"/>
    <w:rsid w:val="00B44C5C"/>
    <w:rsid w:val="00B91988"/>
    <w:rsid w:val="00BD689E"/>
    <w:rsid w:val="00BD7702"/>
    <w:rsid w:val="00BF67A9"/>
    <w:rsid w:val="00C03FEC"/>
    <w:rsid w:val="00C13AE1"/>
    <w:rsid w:val="00C1447F"/>
    <w:rsid w:val="00C15F03"/>
    <w:rsid w:val="00C37BAF"/>
    <w:rsid w:val="00C51E84"/>
    <w:rsid w:val="00C5657D"/>
    <w:rsid w:val="00C80245"/>
    <w:rsid w:val="00C83CB4"/>
    <w:rsid w:val="00CB4125"/>
    <w:rsid w:val="00CB4A22"/>
    <w:rsid w:val="00D1577E"/>
    <w:rsid w:val="00D312F6"/>
    <w:rsid w:val="00D36744"/>
    <w:rsid w:val="00D40749"/>
    <w:rsid w:val="00D56DBF"/>
    <w:rsid w:val="00D57198"/>
    <w:rsid w:val="00D64B2C"/>
    <w:rsid w:val="00D71D72"/>
    <w:rsid w:val="00DB49FC"/>
    <w:rsid w:val="00DC59E5"/>
    <w:rsid w:val="00DF55A9"/>
    <w:rsid w:val="00E03B19"/>
    <w:rsid w:val="00E14207"/>
    <w:rsid w:val="00E30209"/>
    <w:rsid w:val="00E31228"/>
    <w:rsid w:val="00E61D74"/>
    <w:rsid w:val="00E9389D"/>
    <w:rsid w:val="00EA4FF2"/>
    <w:rsid w:val="00EC333A"/>
    <w:rsid w:val="00ED4EBC"/>
    <w:rsid w:val="00EE3747"/>
    <w:rsid w:val="00EE522B"/>
    <w:rsid w:val="00EE6AA1"/>
    <w:rsid w:val="00F85AEF"/>
    <w:rsid w:val="00F932AC"/>
    <w:rsid w:val="00F96B97"/>
    <w:rsid w:val="00F96E12"/>
    <w:rsid w:val="00FC7A4D"/>
    <w:rsid w:val="00FE475C"/>
    <w:rsid w:val="00FF34D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87D3A22"/>
  <w14:defaultImageDpi w14:val="32767"/>
  <w15:chartTrackingRefBased/>
  <w15:docId w15:val="{E0F81EC2-03E5-A347-A45B-B811D0F4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A104C"/>
    <w:pPr>
      <w:spacing w:after="160" w:line="279" w:lineRule="auto"/>
    </w:pPr>
    <w:rPr>
      <w:kern w:val="0"/>
      <w:lang w:val="en-US" w:eastAsia="ja-JP"/>
      <w14:ligatures w14:val="none"/>
    </w:rPr>
  </w:style>
  <w:style w:type="paragraph" w:styleId="Heading1">
    <w:name w:val="heading 1"/>
    <w:basedOn w:val="Normal"/>
    <w:next w:val="Normal"/>
    <w:link w:val="Heading1Char"/>
    <w:uiPriority w:val="9"/>
    <w:qFormat/>
    <w:rsid w:val="007A10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A10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A10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0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0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0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0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0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0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0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A10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A10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0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0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04C"/>
    <w:rPr>
      <w:rFonts w:eastAsiaTheme="majorEastAsia" w:cstheme="majorBidi"/>
      <w:color w:val="272727" w:themeColor="text1" w:themeTint="D8"/>
    </w:rPr>
  </w:style>
  <w:style w:type="paragraph" w:styleId="Title">
    <w:name w:val="Title"/>
    <w:basedOn w:val="Normal"/>
    <w:next w:val="Normal"/>
    <w:link w:val="TitleChar"/>
    <w:uiPriority w:val="10"/>
    <w:qFormat/>
    <w:rsid w:val="007A10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0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0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0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04C"/>
    <w:pPr>
      <w:spacing w:before="160"/>
      <w:jc w:val="center"/>
    </w:pPr>
    <w:rPr>
      <w:i/>
      <w:iCs/>
      <w:color w:val="404040" w:themeColor="text1" w:themeTint="BF"/>
    </w:rPr>
  </w:style>
  <w:style w:type="character" w:customStyle="1" w:styleId="QuoteChar">
    <w:name w:val="Quote Char"/>
    <w:basedOn w:val="DefaultParagraphFont"/>
    <w:link w:val="Quote"/>
    <w:uiPriority w:val="29"/>
    <w:rsid w:val="007A104C"/>
    <w:rPr>
      <w:i/>
      <w:iCs/>
      <w:color w:val="404040" w:themeColor="text1" w:themeTint="BF"/>
    </w:rPr>
  </w:style>
  <w:style w:type="paragraph" w:styleId="ListParagraph">
    <w:name w:val="List Paragraph"/>
    <w:basedOn w:val="Normal"/>
    <w:uiPriority w:val="34"/>
    <w:qFormat/>
    <w:rsid w:val="007A104C"/>
    <w:pPr>
      <w:ind w:left="720"/>
      <w:contextualSpacing/>
    </w:pPr>
  </w:style>
  <w:style w:type="character" w:styleId="IntenseEmphasis">
    <w:name w:val="Intense Emphasis"/>
    <w:basedOn w:val="DefaultParagraphFont"/>
    <w:uiPriority w:val="21"/>
    <w:qFormat/>
    <w:rsid w:val="007A104C"/>
    <w:rPr>
      <w:i/>
      <w:iCs/>
      <w:color w:val="2F5496" w:themeColor="accent1" w:themeShade="BF"/>
    </w:rPr>
  </w:style>
  <w:style w:type="paragraph" w:styleId="IntenseQuote">
    <w:name w:val="Intense Quote"/>
    <w:basedOn w:val="Normal"/>
    <w:next w:val="Normal"/>
    <w:link w:val="IntenseQuoteChar"/>
    <w:uiPriority w:val="30"/>
    <w:qFormat/>
    <w:rsid w:val="007A10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04C"/>
    <w:rPr>
      <w:i/>
      <w:iCs/>
      <w:color w:val="2F5496" w:themeColor="accent1" w:themeShade="BF"/>
    </w:rPr>
  </w:style>
  <w:style w:type="character" w:styleId="IntenseReference">
    <w:name w:val="Intense Reference"/>
    <w:basedOn w:val="DefaultParagraphFont"/>
    <w:uiPriority w:val="32"/>
    <w:qFormat/>
    <w:rsid w:val="007A104C"/>
    <w:rPr>
      <w:b/>
      <w:bCs/>
      <w:smallCaps/>
      <w:color w:val="2F5496" w:themeColor="accent1" w:themeShade="BF"/>
      <w:spacing w:val="5"/>
    </w:rPr>
  </w:style>
  <w:style w:type="character" w:styleId="Hyperlink">
    <w:name w:val="Hyperlink"/>
    <w:basedOn w:val="DefaultParagraphFont"/>
    <w:uiPriority w:val="99"/>
    <w:unhideWhenUsed/>
    <w:rsid w:val="007A104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etrics.org/robotic-surgery-statisti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ipdo.co/robotic-surgery-statistics/" TargetMode="External"/><Relationship Id="rId12" Type="http://schemas.openxmlformats.org/officeDocument/2006/relationships/hyperlink" Target="https://cworldwide.com/insights-news/item/?id=59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Da_Vinci_Surgical_System" TargetMode="External"/><Relationship Id="rId11" Type="http://schemas.openxmlformats.org/officeDocument/2006/relationships/hyperlink" Target="https://www.oliverwyman.com/our-expertise/perspectives/health/2023/august/positioning-the-industry-for-growth-in-robotic-surgery.html" TargetMode="External"/><Relationship Id="rId5" Type="http://schemas.openxmlformats.org/officeDocument/2006/relationships/hyperlink" Target="https://www.sec.gov/Archives/edgar/data/1035267/000103526724000006/q423ex-991q4prexreleaseq4o.htm" TargetMode="External"/><Relationship Id="rId10" Type="http://schemas.openxmlformats.org/officeDocument/2006/relationships/hyperlink" Target="https://media.market.us/robotic-surgery-statistics/" TargetMode="External"/><Relationship Id="rId4" Type="http://schemas.openxmlformats.org/officeDocument/2006/relationships/webSettings" Target="webSettings.xml"/><Relationship Id="rId9" Type="http://schemas.openxmlformats.org/officeDocument/2006/relationships/hyperlink" Target="https://www.globalgrowthinsights.com/market-reports/surgical-robots-market-1069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Aneel Bhangu (Applied Health Sciences)</dc:creator>
  <cp:keywords/>
  <dc:description/>
  <cp:lastModifiedBy>Aneel Bhangu (Applied Health Sciences)</cp:lastModifiedBy>
  <cp:revision>2</cp:revision>
  <dcterms:created xsi:type="dcterms:W3CDTF">2025-10-20T08:44:00Z</dcterms:created>
  <dcterms:modified xsi:type="dcterms:W3CDTF">2025-10-20T08:44:00Z</dcterms:modified>
</cp:coreProperties>
</file>