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E1AD0" w:rsidRPr="004456CF" w:rsidRDefault="00000000">
      <w:pPr>
        <w:pStyle w:val="Heading1"/>
        <w:rPr>
          <w:color w:val="000000" w:themeColor="text1"/>
        </w:rPr>
      </w:pPr>
      <w:r w:rsidRPr="004456CF">
        <w:rPr>
          <w:color w:val="000000" w:themeColor="text1"/>
        </w:rPr>
        <w:t>ISPOR Budget-Impact Analysis (BIA) Checklist — Updated</w:t>
      </w:r>
    </w:p>
    <w:p w:rsidR="00BE1AD0" w:rsidRDefault="00000000">
      <w:r>
        <w:t>This checklist reflects the revised manuscript and supplement, including the laparoscopy-offset sensitivity and pay‑per‑use (PPU) framing. Scope: NHS England payer perspective; ten-year horizon; cash (undiscounted).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1AD0" w:rsidTr="004456CF">
        <w:tc>
          <w:tcPr>
            <w:tcW w:w="4320" w:type="dxa"/>
            <w:tcBorders>
              <w:bottom w:val="single" w:sz="4" w:space="0" w:color="auto"/>
            </w:tcBorders>
          </w:tcPr>
          <w:p w:rsidR="00BE1AD0" w:rsidRDefault="00000000">
            <w:r>
              <w:t>Checklist item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BE1AD0" w:rsidRDefault="00000000">
            <w:r>
              <w:t>Response (updated)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Decision problem &amp; scope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Estimate annual NHS cash outlay and share of NHS budget for scaling soft‑tissue robotic surgery under alternative adoption targets and platform mixes; add a budget‑impact sensitivity that credits displaced laparoscopy. NHS England payer perspective.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Population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MIS‑eligible soft‑tissue families identified from HES 2023/24 with defined inclusions/exclusions; appendicectomy override applied to correct under‑capture.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Time horizon &amp; budget periods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Ten years; linear ramp to Year 5 then steady state to Year 10; annual reporting aligned to planning cycles.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Perspective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NHS payer; cash‑flow (undiscounted) consistent with budgeting practice.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Current &amp; future market shares / comparators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Nine robotic scenarios (30/50/90% adoption × Full/Mixed/Hybrid). Comparator in sensitivity is current laparoscopy (utilisation‑adjusted) to report net new investment after offsets. Installed robotic base credited.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Clinical inputs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No outcomes priced; clinical context informs MIS fractions only. In the offset sensitivity, 80% of robotic cases displace laparoscopy and 20% derive from open.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Resource use &amp; cost categories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 xml:space="preserve">Robotic: capital purchases (Years 1–5), rolling replacement (Years 6–10), per‑case consumables. Laparoscopy (sensitivity): £500 consumables per case; installed base sized at 325 cases/stack/year; 10% annual </w:t>
            </w:r>
            <w:r>
              <w:lastRenderedPageBreak/>
              <w:t>replacement; £200k per stack; £10k annual maintenance. Maintenance/service for robots, estates, financing and staffing are out of scope.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lastRenderedPageBreak/>
              <w:t>Unit costs, price year, currency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Capital A/B/C: £1.8m/£1.2m/£0.25m; consumables £2,000/£1,500/£250; GBP nominal. NHS budget denominator: £192bn in Year 1 with +2% nominal growth per year.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Model structure &amp; transparency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Deterministic cohort engine. Required fleet = cases / capacity (ceiling). Replacement from Year 6 (floor). Totals = capex + consumables; % NHS budget computed annually. All steps scripted and reproducible; figures smoothed for presentation only.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Validation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Independent rebuild reproduces Year‑5 waypoints within tolerances; internal checks on replacement logic, denominators, and MIS mapping.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Uncertainty / sensitivity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Scenario grid (adoption × mix); high‑replacement cadence (20%/yr) stress test; depressed A‑throughput stress test; PPU variant at 90% adoption (re‑profiles cash without materially changing ten‑year totals); laparoscopy‑offset sensitivity (reports net new investment after offsets).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Results reporting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Year‑by‑year cash and % NHS budget at Years 5 and 10; cumulative non‑staff spend; gross vs net (after lap offsets) shown side‑by‑side. Offsets cover ~18–45% of robotic spend, while the net share of NHS budget remains small (~0.02–0.17% by Year 10).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Transferability &amp; implementation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 xml:space="preserve">Trusts should localise MIS fractions, inventories, contracting, capacities, and lap planning prices; realisation of offsets depends on service reconfiguration and </w:t>
            </w:r>
            <w:r>
              <w:lastRenderedPageBreak/>
              <w:t>contracting.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lastRenderedPageBreak/>
              <w:t>Limitations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Top‑down averages; undiscounted cash; excludes staffing, estates, financing and productivity effects; lap offsets assume proportional release of replacement/maintenance that may not fully materialise locally. Findings are budget‑impact, not cost‑effectiveness.</w:t>
            </w:r>
          </w:p>
        </w:tc>
      </w:tr>
      <w:tr w:rsidR="00BE1AD0" w:rsidTr="004456CF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Reproducibility &amp; disclosure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D0" w:rsidRDefault="00000000">
            <w:r>
              <w:t>Parameter tables and artefacts archived; scripted code produces all numbers; GAIT transparency statement included; LLM assistance used for orchestration with human oversight.</w:t>
            </w:r>
          </w:p>
        </w:tc>
      </w:tr>
    </w:tbl>
    <w:p w:rsidR="00B505A1" w:rsidRDefault="00B505A1"/>
    <w:sectPr w:rsidR="00B505A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1015108">
    <w:abstractNumId w:val="8"/>
  </w:num>
  <w:num w:numId="2" w16cid:durableId="284971464">
    <w:abstractNumId w:val="6"/>
  </w:num>
  <w:num w:numId="3" w16cid:durableId="1193298276">
    <w:abstractNumId w:val="5"/>
  </w:num>
  <w:num w:numId="4" w16cid:durableId="15544751">
    <w:abstractNumId w:val="4"/>
  </w:num>
  <w:num w:numId="5" w16cid:durableId="103960599">
    <w:abstractNumId w:val="7"/>
  </w:num>
  <w:num w:numId="6" w16cid:durableId="1388801025">
    <w:abstractNumId w:val="3"/>
  </w:num>
  <w:num w:numId="7" w16cid:durableId="1350251040">
    <w:abstractNumId w:val="2"/>
  </w:num>
  <w:num w:numId="8" w16cid:durableId="2091802943">
    <w:abstractNumId w:val="1"/>
  </w:num>
  <w:num w:numId="9" w16cid:durableId="62805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22BD"/>
    <w:rsid w:val="004456CF"/>
    <w:rsid w:val="00AA1D8D"/>
    <w:rsid w:val="00B47730"/>
    <w:rsid w:val="00B505A1"/>
    <w:rsid w:val="00BE1AD0"/>
    <w:rsid w:val="00CB0664"/>
    <w:rsid w:val="00D128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B297CA11-E27B-264D-9C71-F0202D6C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Aneel Bhangu (Applied Health Sciences)</cp:lastModifiedBy>
  <cp:revision>2</cp:revision>
  <dcterms:created xsi:type="dcterms:W3CDTF">2025-10-21T15:36:00Z</dcterms:created>
  <dcterms:modified xsi:type="dcterms:W3CDTF">2025-10-21T15:36:00Z</dcterms:modified>
  <cp:category/>
</cp:coreProperties>
</file>